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0BFB" w14:textId="77777777" w:rsidR="00730200" w:rsidRDefault="00730200" w:rsidP="00C3117F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Закрыть, нельзя открыть…</w:t>
      </w:r>
    </w:p>
    <w:p w14:paraId="4F84A3E1" w14:textId="77777777" w:rsidR="00BF338B" w:rsidRPr="00730200" w:rsidRDefault="00730200" w:rsidP="00C3117F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200">
        <w:rPr>
          <w:rFonts w:ascii="Times New Roman" w:hAnsi="Times New Roman"/>
          <w:b/>
          <w:sz w:val="28"/>
          <w:szCs w:val="28"/>
        </w:rPr>
        <w:t>Открыть, нельзя закрыть…</w:t>
      </w:r>
    </w:p>
    <w:p w14:paraId="2E8FC6C8" w14:textId="77777777" w:rsidR="00DE2A2B" w:rsidRPr="00EE3653" w:rsidRDefault="00791E81" w:rsidP="00C3117F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ИЛИ - </w:t>
      </w:r>
      <w:r w:rsidR="00730200">
        <w:rPr>
          <w:rFonts w:ascii="Times New Roman" w:hAnsi="Times New Roman"/>
          <w:b/>
          <w:sz w:val="28"/>
          <w:szCs w:val="28"/>
        </w:rPr>
        <w:t>ЧТО ЭТО БЫЛО?</w:t>
      </w:r>
    </w:p>
    <w:p w14:paraId="5CC9AA8A" w14:textId="25B081F9" w:rsidR="00560618" w:rsidRPr="00301510" w:rsidRDefault="00301510" w:rsidP="00CF305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01510">
        <w:rPr>
          <w:rFonts w:ascii="Times New Roman" w:hAnsi="Times New Roman"/>
          <w:i/>
          <w:iCs/>
          <w:sz w:val="24"/>
          <w:szCs w:val="24"/>
        </w:rPr>
        <w:t>А.А. Зубанов, директор ООО «</w:t>
      </w:r>
      <w:proofErr w:type="spellStart"/>
      <w:r w:rsidRPr="00301510">
        <w:rPr>
          <w:rFonts w:ascii="Times New Roman" w:hAnsi="Times New Roman"/>
          <w:i/>
          <w:iCs/>
          <w:sz w:val="24"/>
          <w:szCs w:val="24"/>
        </w:rPr>
        <w:t>Ивтеплоналадка</w:t>
      </w:r>
      <w:proofErr w:type="spellEnd"/>
      <w:r w:rsidRPr="00301510">
        <w:rPr>
          <w:rFonts w:ascii="Times New Roman" w:hAnsi="Times New Roman"/>
          <w:i/>
          <w:iCs/>
          <w:sz w:val="24"/>
          <w:szCs w:val="24"/>
        </w:rPr>
        <w:t>»</w:t>
      </w:r>
    </w:p>
    <w:p w14:paraId="01068672" w14:textId="77777777" w:rsidR="00301510" w:rsidRDefault="00301510" w:rsidP="00CF30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A05FB4" w14:textId="77777777" w:rsidR="00066D5A" w:rsidRDefault="009D73B2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2010 году сознание теплоэнергетиков, долгие годы эксплуатировавших свои, ставшие уже родными и знакомыми, системы теплоснабжения было</w:t>
      </w:r>
      <w:r w:rsidR="00A23F3D">
        <w:rPr>
          <w:rFonts w:ascii="Times New Roman" w:hAnsi="Times New Roman"/>
          <w:sz w:val="24"/>
          <w:szCs w:val="24"/>
        </w:rPr>
        <w:t>, без преувеличения,</w:t>
      </w:r>
      <w:r>
        <w:rPr>
          <w:rFonts w:ascii="Times New Roman" w:hAnsi="Times New Roman"/>
          <w:sz w:val="24"/>
          <w:szCs w:val="24"/>
        </w:rPr>
        <w:t xml:space="preserve"> потрясено требованиями </w:t>
      </w:r>
      <w:proofErr w:type="spellStart"/>
      <w:r w:rsidRPr="009D73B2">
        <w:rPr>
          <w:rFonts w:ascii="Times New Roman" w:hAnsi="Times New Roman"/>
          <w:sz w:val="24"/>
          <w:szCs w:val="24"/>
        </w:rPr>
        <w:t>пп</w:t>
      </w:r>
      <w:proofErr w:type="spellEnd"/>
      <w:r w:rsidRPr="009D73B2">
        <w:rPr>
          <w:rFonts w:ascii="Times New Roman" w:hAnsi="Times New Roman"/>
          <w:sz w:val="24"/>
          <w:szCs w:val="24"/>
        </w:rPr>
        <w:t xml:space="preserve">. 8 и 9 </w:t>
      </w:r>
      <w:r w:rsidR="00791E81" w:rsidRPr="009D73B2">
        <w:rPr>
          <w:rFonts w:ascii="Times New Roman" w:hAnsi="Times New Roman"/>
          <w:sz w:val="24"/>
          <w:szCs w:val="24"/>
        </w:rPr>
        <w:t>Стат</w:t>
      </w:r>
      <w:r w:rsidRPr="009D73B2">
        <w:rPr>
          <w:rFonts w:ascii="Times New Roman" w:hAnsi="Times New Roman"/>
          <w:sz w:val="24"/>
          <w:szCs w:val="24"/>
        </w:rPr>
        <w:t>ьи</w:t>
      </w:r>
      <w:r w:rsidR="00791E81" w:rsidRPr="009D73B2">
        <w:rPr>
          <w:rFonts w:ascii="Times New Roman" w:hAnsi="Times New Roman"/>
          <w:sz w:val="24"/>
          <w:szCs w:val="24"/>
        </w:rPr>
        <w:t xml:space="preserve"> 29 Федеральн</w:t>
      </w:r>
      <w:r>
        <w:rPr>
          <w:rFonts w:ascii="Times New Roman" w:hAnsi="Times New Roman"/>
          <w:sz w:val="24"/>
          <w:szCs w:val="24"/>
        </w:rPr>
        <w:t>ого</w:t>
      </w:r>
      <w:r w:rsidR="00791E81" w:rsidRPr="009D73B2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="00791E81" w:rsidRPr="009D73B2">
        <w:rPr>
          <w:rFonts w:ascii="Times New Roman" w:hAnsi="Times New Roman"/>
          <w:sz w:val="24"/>
          <w:szCs w:val="24"/>
        </w:rPr>
        <w:t xml:space="preserve"> РФ №190-ФЗ от 27.07.2010 г. «О теплоснабжении»</w:t>
      </w:r>
      <w:r w:rsidR="009E1CFD">
        <w:rPr>
          <w:rFonts w:ascii="Times New Roman" w:hAnsi="Times New Roman"/>
          <w:sz w:val="24"/>
          <w:szCs w:val="24"/>
        </w:rPr>
        <w:t>:</w:t>
      </w:r>
    </w:p>
    <w:p w14:paraId="068441A1" w14:textId="77777777" w:rsidR="009E1CFD" w:rsidRPr="009E1CFD" w:rsidRDefault="009E1CFD" w:rsidP="009E1C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FD">
        <w:rPr>
          <w:rFonts w:ascii="Times New Roman" w:hAnsi="Times New Roman"/>
          <w:sz w:val="24"/>
          <w:szCs w:val="24"/>
        </w:rPr>
        <w:t>8. С 1 января 2013 года подключение (технологическое присоединение) объектов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9E1CFD">
        <w:rPr>
          <w:rFonts w:ascii="Times New Roman" w:hAnsi="Times New Roman"/>
          <w:sz w:val="24"/>
          <w:szCs w:val="24"/>
        </w:rPr>
        <w:t>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допускается.</w:t>
      </w:r>
    </w:p>
    <w:p w14:paraId="1AD66AAC" w14:textId="77777777" w:rsidR="009E1CFD" w:rsidRPr="009E1CFD" w:rsidRDefault="009E1CFD" w:rsidP="009E1C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FD">
        <w:rPr>
          <w:rFonts w:ascii="Times New Roman" w:hAnsi="Times New Roman"/>
          <w:sz w:val="24"/>
          <w:szCs w:val="24"/>
        </w:rPr>
        <w:t>(часть 8 введена Федеральным законом от 07.12.2011 N 417-ФЗ (ред. 30.12.2012))</w:t>
      </w:r>
    </w:p>
    <w:p w14:paraId="2EC71044" w14:textId="77777777" w:rsidR="009E1CFD" w:rsidRPr="009E1CFD" w:rsidRDefault="009E1CFD" w:rsidP="009E1C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FD">
        <w:rPr>
          <w:rFonts w:ascii="Times New Roman" w:hAnsi="Times New Roman"/>
          <w:sz w:val="24"/>
          <w:szCs w:val="24"/>
        </w:rPr>
        <w:t>9. 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допускается.</w:t>
      </w:r>
    </w:p>
    <w:p w14:paraId="25C7DAFE" w14:textId="77777777" w:rsidR="009E1CFD" w:rsidRPr="009E1CFD" w:rsidRDefault="009E1CFD" w:rsidP="009E1C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CFD">
        <w:rPr>
          <w:rFonts w:ascii="Times New Roman" w:hAnsi="Times New Roman"/>
          <w:sz w:val="24"/>
          <w:szCs w:val="24"/>
        </w:rPr>
        <w:t xml:space="preserve">(часть 9 введена Федеральным законом от 07.12.2011 N 417-ФЗ) </w:t>
      </w:r>
    </w:p>
    <w:p w14:paraId="7F291763" w14:textId="77777777" w:rsidR="009E1CFD" w:rsidRPr="009D73B2" w:rsidRDefault="007C245F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Каких-либо вразумительных </w:t>
      </w:r>
      <w:r w:rsidR="009E2349">
        <w:rPr>
          <w:rFonts w:ascii="Times New Roman" w:hAnsi="Times New Roman"/>
          <w:sz w:val="24"/>
          <w:szCs w:val="24"/>
        </w:rPr>
        <w:t xml:space="preserve">технико-экономических </w:t>
      </w:r>
      <w:r>
        <w:rPr>
          <w:rFonts w:ascii="Times New Roman" w:hAnsi="Times New Roman"/>
          <w:sz w:val="24"/>
          <w:szCs w:val="24"/>
        </w:rPr>
        <w:t>обоснований или</w:t>
      </w:r>
      <w:r w:rsidR="009E2349">
        <w:rPr>
          <w:rFonts w:ascii="Times New Roman" w:hAnsi="Times New Roman"/>
          <w:sz w:val="24"/>
          <w:szCs w:val="24"/>
        </w:rPr>
        <w:t xml:space="preserve"> хотя бы</w:t>
      </w:r>
      <w:r>
        <w:rPr>
          <w:rFonts w:ascii="Times New Roman" w:hAnsi="Times New Roman"/>
          <w:sz w:val="24"/>
          <w:szCs w:val="24"/>
        </w:rPr>
        <w:t xml:space="preserve"> пояснений под этими статьями</w:t>
      </w:r>
      <w:r w:rsidR="00AD193C">
        <w:rPr>
          <w:rFonts w:ascii="Times New Roman" w:hAnsi="Times New Roman"/>
          <w:sz w:val="24"/>
          <w:szCs w:val="24"/>
        </w:rPr>
        <w:t xml:space="preserve"> закона</w:t>
      </w:r>
      <w:r>
        <w:rPr>
          <w:rFonts w:ascii="Times New Roman" w:hAnsi="Times New Roman"/>
          <w:sz w:val="24"/>
          <w:szCs w:val="24"/>
        </w:rPr>
        <w:t xml:space="preserve"> приведено не было, на какую величину должен был снизиться тариф на тепловую энергию для населения после выполнения этих судьбоносных для любой системы теплоснабжения решений также не сообщалось.</w:t>
      </w:r>
    </w:p>
    <w:p w14:paraId="66733E5A" w14:textId="77777777" w:rsidR="00066D5A" w:rsidRPr="0041797F" w:rsidRDefault="0041797F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мощный удар наноси</w:t>
      </w:r>
      <w:r w:rsidR="0059752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ся статьёй 8, которая прямо сообщает, что все новые объекты строительства в городах, имеющих открытые системы теплоснабжения для нужд горячего водоснабжения (далее – ГВС)</w:t>
      </w:r>
      <w:r w:rsidR="00484014">
        <w:rPr>
          <w:rFonts w:ascii="Times New Roman" w:hAnsi="Times New Roman"/>
          <w:sz w:val="24"/>
          <w:szCs w:val="24"/>
        </w:rPr>
        <w:t xml:space="preserve"> – примерно 7</w:t>
      </w:r>
      <w:r w:rsidR="00154BE6">
        <w:rPr>
          <w:rFonts w:ascii="Times New Roman" w:hAnsi="Times New Roman"/>
          <w:sz w:val="24"/>
          <w:szCs w:val="24"/>
        </w:rPr>
        <w:t>5</w:t>
      </w:r>
      <w:r w:rsidR="00484014">
        <w:rPr>
          <w:rFonts w:ascii="Times New Roman" w:hAnsi="Times New Roman"/>
          <w:sz w:val="24"/>
          <w:szCs w:val="24"/>
        </w:rPr>
        <w:t xml:space="preserve"> % от всего количества систем теплоснабжения в РФ</w:t>
      </w:r>
      <w:r>
        <w:rPr>
          <w:rFonts w:ascii="Times New Roman" w:hAnsi="Times New Roman"/>
          <w:sz w:val="24"/>
          <w:szCs w:val="24"/>
        </w:rPr>
        <w:t xml:space="preserve">, подключать к таким системам запрещено. Таким образом, </w:t>
      </w:r>
      <w:r w:rsidR="00C33128">
        <w:rPr>
          <w:rFonts w:ascii="Times New Roman" w:hAnsi="Times New Roman"/>
          <w:sz w:val="24"/>
          <w:szCs w:val="24"/>
        </w:rPr>
        <w:t xml:space="preserve">изначально </w:t>
      </w:r>
      <w:r>
        <w:rPr>
          <w:rFonts w:ascii="Times New Roman" w:hAnsi="Times New Roman"/>
          <w:sz w:val="24"/>
          <w:szCs w:val="24"/>
        </w:rPr>
        <w:t>стави</w:t>
      </w:r>
      <w:r w:rsidR="00C3312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ся мощный законодательный административно - принудительный барьер развитию систем теплоснабжения с открытым водоразбором на ГВС вообще, так как застройщику проще подключить новый объект к сетям </w:t>
      </w:r>
      <w:r w:rsidR="00846F65">
        <w:rPr>
          <w:rFonts w:ascii="Times New Roman" w:hAnsi="Times New Roman"/>
          <w:sz w:val="24"/>
          <w:szCs w:val="24"/>
        </w:rPr>
        <w:t xml:space="preserve">газоснабжения </w:t>
      </w:r>
      <w:r>
        <w:rPr>
          <w:rFonts w:ascii="Times New Roman" w:hAnsi="Times New Roman"/>
          <w:sz w:val="24"/>
          <w:szCs w:val="24"/>
        </w:rPr>
        <w:t>для нагрева сетевой воды на отопление и ГВС,</w:t>
      </w:r>
      <w:r w:rsidRPr="00417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 городить огород, подключая здание по отоплению к системе централизованного теплоснабжения, а для нагрева воды для ГВС – к системе газоснабжения.</w:t>
      </w:r>
    </w:p>
    <w:p w14:paraId="6E2BF99B" w14:textId="77777777" w:rsidR="0041797F" w:rsidRDefault="008D0B10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ошеломительно – </w:t>
      </w:r>
      <w:proofErr w:type="spellStart"/>
      <w:r>
        <w:rPr>
          <w:rFonts w:ascii="Times New Roman" w:hAnsi="Times New Roman"/>
          <w:sz w:val="24"/>
          <w:szCs w:val="24"/>
        </w:rPr>
        <w:t>кувалдопод</w:t>
      </w:r>
      <w:r w:rsidR="00DD572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ный</w:t>
      </w:r>
      <w:proofErr w:type="spellEnd"/>
      <w:r>
        <w:rPr>
          <w:rFonts w:ascii="Times New Roman" w:hAnsi="Times New Roman"/>
          <w:sz w:val="24"/>
          <w:szCs w:val="24"/>
        </w:rPr>
        <w:t xml:space="preserve"> удар по системам теплоснабжения с открытым водоразбором на ГВС наносится статьёй 9</w:t>
      </w:r>
      <w:r w:rsidR="004B497A">
        <w:rPr>
          <w:rFonts w:ascii="Times New Roman" w:hAnsi="Times New Roman"/>
          <w:sz w:val="24"/>
          <w:szCs w:val="24"/>
        </w:rPr>
        <w:t>, которая прямо сообщает о невозможности использования с 01 января 2022 года таких систем теплоснабжения вообще…</w:t>
      </w:r>
    </w:p>
    <w:p w14:paraId="28139344" w14:textId="77777777" w:rsidR="00791E81" w:rsidRDefault="00DC2C42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Итак, попробуем разобраться, о чём же всё-таки говорится в указанных статьях Федерального Закона…</w:t>
      </w:r>
    </w:p>
    <w:p w14:paraId="1205572C" w14:textId="77777777" w:rsidR="00791E81" w:rsidRPr="00611901" w:rsidRDefault="00611901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11901">
        <w:rPr>
          <w:rFonts w:ascii="Times New Roman" w:hAnsi="Times New Roman"/>
          <w:b/>
          <w:sz w:val="24"/>
          <w:szCs w:val="24"/>
        </w:rPr>
        <w:t>1. Выбор системы теплоснабжения.</w:t>
      </w:r>
    </w:p>
    <w:p w14:paraId="71EDE0B0" w14:textId="77777777" w:rsidR="00611901" w:rsidRDefault="00611901" w:rsidP="006119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системы теплоснабжения по ГВС (открытая, закрытая)</w:t>
      </w:r>
      <w:r w:rsidR="005D2E07">
        <w:rPr>
          <w:rFonts w:ascii="Times New Roman" w:hAnsi="Times New Roman"/>
          <w:sz w:val="24"/>
          <w:szCs w:val="24"/>
        </w:rPr>
        <w:t>, оказывается,</w:t>
      </w:r>
      <w:r>
        <w:rPr>
          <w:rFonts w:ascii="Times New Roman" w:hAnsi="Times New Roman"/>
          <w:sz w:val="24"/>
          <w:szCs w:val="24"/>
        </w:rPr>
        <w:t xml:space="preserve"> производится не просто так. Пока ещё действующий </w:t>
      </w:r>
      <w:r w:rsidRPr="00611901">
        <w:rPr>
          <w:rFonts w:ascii="Times New Roman" w:hAnsi="Times New Roman"/>
          <w:sz w:val="24"/>
          <w:szCs w:val="24"/>
        </w:rPr>
        <w:t>СНиП 41-02-2003 «Тепловые сети»</w:t>
      </w:r>
      <w:r>
        <w:rPr>
          <w:rFonts w:ascii="Times New Roman" w:hAnsi="Times New Roman"/>
          <w:sz w:val="24"/>
          <w:szCs w:val="24"/>
        </w:rPr>
        <w:t xml:space="preserve"> в п. </w:t>
      </w:r>
      <w:r w:rsidRPr="00611901">
        <w:rPr>
          <w:rFonts w:ascii="Times New Roman" w:hAnsi="Times New Roman"/>
          <w:sz w:val="24"/>
          <w:szCs w:val="24"/>
        </w:rPr>
        <w:t xml:space="preserve">6.6 </w:t>
      </w:r>
      <w:r>
        <w:rPr>
          <w:rFonts w:ascii="Times New Roman" w:hAnsi="Times New Roman"/>
          <w:sz w:val="24"/>
          <w:szCs w:val="24"/>
        </w:rPr>
        <w:t>чётко регламентирует, что:</w:t>
      </w:r>
    </w:p>
    <w:p w14:paraId="4DD1B87F" w14:textId="77777777" w:rsidR="00611901" w:rsidRPr="00611901" w:rsidRDefault="00611901" w:rsidP="0061190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11901">
        <w:rPr>
          <w:rFonts w:ascii="Times New Roman" w:hAnsi="Times New Roman"/>
          <w:i/>
          <w:sz w:val="24"/>
          <w:szCs w:val="24"/>
        </w:rPr>
        <w:t>Система теплоснабжения (открытая, закрытая, в том числе с отдельными сетями горячего водоснабжения, смешанная) выбирается на основе представляемого проектной организацией технико-экономического сравнения различных систем с учетом местных экологических, экономических условий и последствий от принятия того или иного решения.</w:t>
      </w:r>
    </w:p>
    <w:p w14:paraId="019FC405" w14:textId="77777777" w:rsidR="00611901" w:rsidRDefault="00611901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Вот, </w:t>
      </w:r>
      <w:proofErr w:type="gramStart"/>
      <w:r>
        <w:rPr>
          <w:rFonts w:ascii="Times New Roman" w:hAnsi="Times New Roman"/>
          <w:sz w:val="24"/>
          <w:szCs w:val="24"/>
        </w:rPr>
        <w:t>значит</w:t>
      </w:r>
      <w:proofErr w:type="gramEnd"/>
      <w:r>
        <w:rPr>
          <w:rFonts w:ascii="Times New Roman" w:hAnsi="Times New Roman"/>
          <w:sz w:val="24"/>
          <w:szCs w:val="24"/>
        </w:rPr>
        <w:t xml:space="preserve"> как… То есть, не всех под одну гребёнку, а</w:t>
      </w:r>
      <w:r w:rsidR="001C51AF">
        <w:rPr>
          <w:rFonts w:ascii="Times New Roman" w:hAnsi="Times New Roman"/>
          <w:sz w:val="24"/>
          <w:szCs w:val="24"/>
        </w:rPr>
        <w:t xml:space="preserve"> всё-таки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A0A">
        <w:rPr>
          <w:rFonts w:ascii="Times New Roman" w:hAnsi="Times New Roman"/>
          <w:b/>
          <w:i/>
          <w:sz w:val="24"/>
          <w:szCs w:val="24"/>
        </w:rPr>
        <w:t>технико-экономического сравнения</w:t>
      </w:r>
      <w:r w:rsidR="00211A0A">
        <w:rPr>
          <w:rFonts w:ascii="Times New Roman" w:hAnsi="Times New Roman"/>
          <w:i/>
          <w:sz w:val="24"/>
          <w:szCs w:val="24"/>
        </w:rPr>
        <w:t xml:space="preserve"> </w:t>
      </w:r>
      <w:r w:rsidR="00211A0A" w:rsidRPr="00211A0A">
        <w:rPr>
          <w:rFonts w:ascii="Times New Roman" w:hAnsi="Times New Roman"/>
          <w:b/>
          <w:i/>
          <w:sz w:val="24"/>
          <w:szCs w:val="24"/>
        </w:rPr>
        <w:t xml:space="preserve">и местные условия! </w:t>
      </w:r>
      <w:r w:rsidR="00211A0A" w:rsidRPr="00211A0A">
        <w:rPr>
          <w:rFonts w:ascii="Times New Roman" w:hAnsi="Times New Roman"/>
          <w:sz w:val="24"/>
          <w:szCs w:val="24"/>
        </w:rPr>
        <w:t xml:space="preserve">А </w:t>
      </w:r>
      <w:r w:rsidR="00211A0A">
        <w:rPr>
          <w:rFonts w:ascii="Times New Roman" w:hAnsi="Times New Roman"/>
          <w:sz w:val="24"/>
          <w:szCs w:val="24"/>
        </w:rPr>
        <w:t>есть ли ещё какие-то ограничения? Оказывается, есть. Тот же СНиП п. 6.9:</w:t>
      </w:r>
    </w:p>
    <w:p w14:paraId="692FAC29" w14:textId="77777777" w:rsidR="00211A0A" w:rsidRPr="00211A0A" w:rsidRDefault="00211A0A" w:rsidP="009D73B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11A0A">
        <w:rPr>
          <w:rFonts w:ascii="Times New Roman" w:hAnsi="Times New Roman"/>
          <w:i/>
          <w:sz w:val="24"/>
          <w:szCs w:val="24"/>
        </w:rPr>
        <w:t>С атомными источниками теплоты должны проектироваться, как правило, открытые системы теплоснабжения, исключающие вероятность недопустимых концентраций радионуклидов в сетевой воде, трубопроводах, оборудовании СЦТ и в приемниках теплоты потребителей.</w:t>
      </w:r>
    </w:p>
    <w:p w14:paraId="64EC9183" w14:textId="77777777" w:rsidR="00791E81" w:rsidRDefault="005061E7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Хорошо, а</w:t>
      </w:r>
      <w:r w:rsidR="00822F0D">
        <w:rPr>
          <w:rFonts w:ascii="Times New Roman" w:hAnsi="Times New Roman"/>
          <w:sz w:val="24"/>
          <w:szCs w:val="24"/>
        </w:rPr>
        <w:t xml:space="preserve"> как же выбирать системы теплоснабжения</w:t>
      </w:r>
      <w:r w:rsidR="004E3E7A">
        <w:rPr>
          <w:rFonts w:ascii="Times New Roman" w:hAnsi="Times New Roman"/>
          <w:sz w:val="24"/>
          <w:szCs w:val="24"/>
        </w:rPr>
        <w:t xml:space="preserve"> в других населённых пунктах</w:t>
      </w:r>
      <w:r w:rsidR="00822F0D">
        <w:rPr>
          <w:rFonts w:ascii="Times New Roman" w:hAnsi="Times New Roman"/>
          <w:sz w:val="24"/>
          <w:szCs w:val="24"/>
        </w:rPr>
        <w:t xml:space="preserve">, где и какая должна быть? Оказывается, это тоже </w:t>
      </w:r>
      <w:r w:rsidR="00822F0D" w:rsidRPr="005061E7">
        <w:rPr>
          <w:rFonts w:ascii="Times New Roman" w:hAnsi="Times New Roman"/>
          <w:b/>
          <w:sz w:val="24"/>
          <w:szCs w:val="24"/>
        </w:rPr>
        <w:t>БЫЛО</w:t>
      </w:r>
      <w:r w:rsidR="00822F0D">
        <w:rPr>
          <w:rFonts w:ascii="Times New Roman" w:hAnsi="Times New Roman"/>
          <w:sz w:val="24"/>
          <w:szCs w:val="24"/>
        </w:rPr>
        <w:t xml:space="preserve"> регламентировано нормативными документами, действие которых, к сожалению, закончилось, новые выпущены не были, но физические и химические процессы при этом на третьей от нашего светила планет</w:t>
      </w:r>
      <w:r w:rsidR="00CA3DD4">
        <w:rPr>
          <w:rFonts w:ascii="Times New Roman" w:hAnsi="Times New Roman"/>
          <w:sz w:val="24"/>
          <w:szCs w:val="24"/>
        </w:rPr>
        <w:t>е</w:t>
      </w:r>
      <w:r w:rsidR="00822F0D">
        <w:rPr>
          <w:rFonts w:ascii="Times New Roman" w:hAnsi="Times New Roman"/>
          <w:sz w:val="24"/>
          <w:szCs w:val="24"/>
        </w:rPr>
        <w:t xml:space="preserve"> </w:t>
      </w:r>
      <w:r w:rsidR="00FD5DD0">
        <w:rPr>
          <w:rFonts w:ascii="Times New Roman" w:hAnsi="Times New Roman"/>
          <w:sz w:val="24"/>
          <w:szCs w:val="24"/>
        </w:rPr>
        <w:t xml:space="preserve">от этого </w:t>
      </w:r>
      <w:r w:rsidR="00822F0D">
        <w:rPr>
          <w:rFonts w:ascii="Times New Roman" w:hAnsi="Times New Roman"/>
          <w:sz w:val="24"/>
          <w:szCs w:val="24"/>
        </w:rPr>
        <w:t>не изменились.</w:t>
      </w:r>
    </w:p>
    <w:p w14:paraId="6297341E" w14:textId="77777777" w:rsidR="00822F0D" w:rsidRDefault="008B0CFF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Оказывается:</w:t>
      </w:r>
    </w:p>
    <w:p w14:paraId="5DB74175" w14:textId="77777777" w:rsidR="00822F0D" w:rsidRPr="00822F0D" w:rsidRDefault="00822F0D" w:rsidP="00822F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F0D">
        <w:rPr>
          <w:rFonts w:ascii="Times New Roman" w:hAnsi="Times New Roman"/>
          <w:b/>
          <w:bCs/>
          <w:sz w:val="24"/>
          <w:szCs w:val="24"/>
        </w:rPr>
        <w:t>Выбор типа системы теплоснабжения с учетом качества воды выполнялся по РД</w:t>
      </w:r>
      <w:r w:rsidR="00404A92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822F0D">
        <w:rPr>
          <w:rFonts w:ascii="Times New Roman" w:hAnsi="Times New Roman"/>
          <w:b/>
          <w:bCs/>
          <w:sz w:val="24"/>
          <w:szCs w:val="24"/>
        </w:rPr>
        <w:t>34.20.145-92 «</w:t>
      </w:r>
      <w:r w:rsidR="00404A92" w:rsidRPr="00822F0D">
        <w:rPr>
          <w:rFonts w:ascii="Times New Roman" w:hAnsi="Times New Roman"/>
          <w:b/>
          <w:bCs/>
          <w:sz w:val="24"/>
          <w:szCs w:val="24"/>
        </w:rPr>
        <w:t>Методическим указаниям по выбору типа системы теплоснабжения с учетом качества воды</w:t>
      </w:r>
      <w:r w:rsidRPr="00822F0D">
        <w:rPr>
          <w:rFonts w:ascii="Times New Roman" w:hAnsi="Times New Roman"/>
          <w:b/>
          <w:bCs/>
          <w:sz w:val="24"/>
          <w:szCs w:val="24"/>
        </w:rPr>
        <w:t xml:space="preserve">», Москва, ВТИ, 1992 г. </w:t>
      </w:r>
    </w:p>
    <w:p w14:paraId="5A57082F" w14:textId="77777777" w:rsidR="00822F0D" w:rsidRPr="00822F0D" w:rsidRDefault="00822F0D" w:rsidP="00822F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F0D">
        <w:rPr>
          <w:rFonts w:ascii="Times New Roman" w:hAnsi="Times New Roman"/>
          <w:i/>
          <w:iCs/>
          <w:sz w:val="24"/>
          <w:szCs w:val="24"/>
        </w:rPr>
        <w:t>Срок действия установлен с 1993-07-01 до 2003-07-01</w:t>
      </w:r>
      <w:r w:rsidRPr="00822F0D">
        <w:rPr>
          <w:rFonts w:ascii="Times New Roman" w:hAnsi="Times New Roman"/>
          <w:sz w:val="24"/>
          <w:szCs w:val="24"/>
        </w:rPr>
        <w:t xml:space="preserve"> </w:t>
      </w:r>
    </w:p>
    <w:p w14:paraId="57E1D561" w14:textId="77777777" w:rsidR="00791E81" w:rsidRDefault="008B0CFF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качество воды:</w:t>
      </w:r>
    </w:p>
    <w:p w14:paraId="0DC3D012" w14:textId="77777777" w:rsidR="00822F0D" w:rsidRPr="00822F0D" w:rsidRDefault="00822F0D" w:rsidP="00822F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F0D">
        <w:rPr>
          <w:rFonts w:ascii="Times New Roman" w:hAnsi="Times New Roman"/>
          <w:b/>
          <w:bCs/>
          <w:sz w:val="24"/>
          <w:szCs w:val="24"/>
        </w:rPr>
        <w:t>Качество подпиточной и сетевой воды тепловых сетей определялось по РД</w:t>
      </w:r>
      <w:r w:rsidR="00404A92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822F0D">
        <w:rPr>
          <w:rFonts w:ascii="Times New Roman" w:hAnsi="Times New Roman"/>
          <w:b/>
          <w:bCs/>
          <w:sz w:val="24"/>
          <w:szCs w:val="24"/>
        </w:rPr>
        <w:t>34.37.504-83 «</w:t>
      </w:r>
      <w:r w:rsidR="00404A92" w:rsidRPr="00822F0D">
        <w:rPr>
          <w:rFonts w:ascii="Times New Roman" w:hAnsi="Times New Roman"/>
          <w:b/>
          <w:bCs/>
          <w:sz w:val="24"/>
          <w:szCs w:val="24"/>
        </w:rPr>
        <w:t>Нормы качества подпиточной и сетевой воды тепловых сетей</w:t>
      </w:r>
      <w:r w:rsidR="00404A92">
        <w:rPr>
          <w:rFonts w:ascii="Times New Roman" w:hAnsi="Times New Roman"/>
          <w:b/>
          <w:bCs/>
          <w:sz w:val="24"/>
          <w:szCs w:val="24"/>
        </w:rPr>
        <w:t>», Москва, Институт им.</w:t>
      </w:r>
      <w:r w:rsidR="00404A92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822F0D">
        <w:rPr>
          <w:rFonts w:ascii="Times New Roman" w:hAnsi="Times New Roman"/>
          <w:b/>
          <w:bCs/>
          <w:sz w:val="24"/>
          <w:szCs w:val="24"/>
        </w:rPr>
        <w:t xml:space="preserve">Дзержинского, 1983 г. </w:t>
      </w:r>
    </w:p>
    <w:p w14:paraId="2C11F03F" w14:textId="77777777" w:rsidR="00822F0D" w:rsidRPr="00404A92" w:rsidRDefault="00822F0D" w:rsidP="00822F0D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4A92">
        <w:rPr>
          <w:rFonts w:ascii="Times New Roman" w:hAnsi="Times New Roman"/>
          <w:i/>
          <w:sz w:val="24"/>
          <w:szCs w:val="24"/>
        </w:rPr>
        <w:t xml:space="preserve">Срок действия установлен с 01.07.84 г. до 01.07.2004 г. </w:t>
      </w:r>
    </w:p>
    <w:p w14:paraId="473A7315" w14:textId="77777777" w:rsidR="00822F0D" w:rsidRDefault="00357106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каким же критериям </w:t>
      </w:r>
      <w:r w:rsidR="003502A4">
        <w:rPr>
          <w:rFonts w:ascii="Times New Roman" w:hAnsi="Times New Roman"/>
          <w:sz w:val="24"/>
          <w:szCs w:val="24"/>
        </w:rPr>
        <w:t xml:space="preserve">был сделан </w:t>
      </w:r>
      <w:r w:rsidR="005A1C5C">
        <w:rPr>
          <w:rFonts w:ascii="Times New Roman" w:hAnsi="Times New Roman"/>
          <w:sz w:val="24"/>
          <w:szCs w:val="24"/>
        </w:rPr>
        <w:t xml:space="preserve">когда-то </w:t>
      </w:r>
      <w:r w:rsidR="003502A4">
        <w:rPr>
          <w:rFonts w:ascii="Times New Roman" w:hAnsi="Times New Roman"/>
          <w:sz w:val="24"/>
          <w:szCs w:val="24"/>
        </w:rPr>
        <w:t>выбор типа систем теплоснабжения по ГВС, дошедший до наших дней?</w:t>
      </w:r>
    </w:p>
    <w:p w14:paraId="285DD06F" w14:textId="77777777" w:rsidR="005A1C5C" w:rsidRPr="00404A92" w:rsidRDefault="005A1C5C" w:rsidP="005A1C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</w:rPr>
        <w:t xml:space="preserve">Для предварительного выбора системы теплоснабжения проводят оценку качества </w:t>
      </w:r>
      <w:r w:rsidRPr="00404A92">
        <w:rPr>
          <w:rFonts w:ascii="Times New Roman" w:hAnsi="Times New Roman"/>
          <w:bCs/>
          <w:sz w:val="24"/>
          <w:szCs w:val="24"/>
          <w:u w:val="single"/>
        </w:rPr>
        <w:t>исходной воды</w:t>
      </w:r>
      <w:r w:rsidRPr="00404A92">
        <w:rPr>
          <w:rFonts w:ascii="Times New Roman" w:hAnsi="Times New Roman"/>
          <w:bCs/>
          <w:sz w:val="24"/>
          <w:szCs w:val="24"/>
        </w:rPr>
        <w:t>, используемой для горячего водоснабжения по следующим показателям:</w:t>
      </w:r>
    </w:p>
    <w:p w14:paraId="32120A11" w14:textId="77777777" w:rsidR="005A1C5C" w:rsidRPr="00404A92" w:rsidRDefault="005A1C5C" w:rsidP="005A1C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</w:rPr>
        <w:lastRenderedPageBreak/>
        <w:t>- Коррозионная активность, определяемая карбонатным индексом И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к</w:t>
      </w:r>
      <w:r w:rsidRPr="00404A92">
        <w:rPr>
          <w:rFonts w:ascii="Times New Roman" w:hAnsi="Times New Roman"/>
          <w:bCs/>
          <w:sz w:val="24"/>
          <w:szCs w:val="24"/>
        </w:rPr>
        <w:t>, (мг-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экв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>/л)</w:t>
      </w:r>
      <w:r w:rsidRPr="00404A92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404A92">
        <w:rPr>
          <w:rFonts w:ascii="Times New Roman" w:hAnsi="Times New Roman"/>
          <w:bCs/>
          <w:sz w:val="24"/>
          <w:szCs w:val="24"/>
        </w:rPr>
        <w:t>, представляющим произведение общей щелочности (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Щ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о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>) и кальциевой жесткости воды (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Ж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Са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>)</w:t>
      </w:r>
    </w:p>
    <w:p w14:paraId="7918FC8C" w14:textId="77777777" w:rsidR="005A1C5C" w:rsidRPr="00404A92" w:rsidRDefault="005A1C5C" w:rsidP="00404A9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</w:rPr>
        <w:t>И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к</w:t>
      </w:r>
      <w:r w:rsidRPr="00404A92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Щ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о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 xml:space="preserve"> </w:t>
      </w:r>
      <w:r w:rsidRPr="00404A92">
        <w:rPr>
          <w:rFonts w:ascii="Times New Roman" w:hAnsi="Times New Roman"/>
          <w:bCs/>
          <w:sz w:val="24"/>
          <w:szCs w:val="24"/>
        </w:rPr>
        <w:sym w:font="Symbol" w:char="00D7"/>
      </w:r>
      <w:r w:rsidRPr="00404A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Ж</w:t>
      </w:r>
      <w:r w:rsidRPr="00404A92">
        <w:rPr>
          <w:rFonts w:ascii="Times New Roman" w:hAnsi="Times New Roman"/>
          <w:bCs/>
          <w:sz w:val="24"/>
          <w:szCs w:val="24"/>
          <w:vertAlign w:val="subscript"/>
        </w:rPr>
        <w:t>Са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>;</w:t>
      </w:r>
    </w:p>
    <w:p w14:paraId="4E9D86E9" w14:textId="77777777" w:rsidR="005A1C5C" w:rsidRPr="004B22A3" w:rsidRDefault="004B22A3" w:rsidP="004B22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A1C5C" w:rsidRPr="00404A92">
        <w:rPr>
          <w:rFonts w:ascii="Times New Roman" w:hAnsi="Times New Roman"/>
          <w:bCs/>
          <w:sz w:val="24"/>
          <w:szCs w:val="24"/>
        </w:rPr>
        <w:t>уммарной концентрацией хлоридов и сульфатов, (мг/л)</w:t>
      </w:r>
    </w:p>
    <w:p w14:paraId="0C4D82D2" w14:textId="77777777" w:rsidR="005A1C5C" w:rsidRPr="00404A92" w:rsidRDefault="005A1C5C" w:rsidP="00404A9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404A92">
        <w:rPr>
          <w:rFonts w:ascii="Times New Roman" w:hAnsi="Times New Roman"/>
          <w:bCs/>
          <w:sz w:val="24"/>
          <w:szCs w:val="24"/>
        </w:rPr>
        <w:t xml:space="preserve"> = </w:t>
      </w:r>
      <w:r w:rsidRPr="00404A92">
        <w:rPr>
          <w:rFonts w:ascii="Times New Roman" w:hAnsi="Times New Roman"/>
          <w:bCs/>
          <w:sz w:val="24"/>
          <w:szCs w:val="24"/>
          <w:lang w:val="en-US"/>
        </w:rPr>
        <w:t>CL</w:t>
      </w:r>
      <w:r w:rsidRPr="00404A92">
        <w:rPr>
          <w:rFonts w:ascii="Times New Roman" w:hAnsi="Times New Roman"/>
          <w:bCs/>
          <w:sz w:val="24"/>
          <w:szCs w:val="24"/>
          <w:vertAlign w:val="superscript"/>
        </w:rPr>
        <w:t>-</w:t>
      </w:r>
      <w:r w:rsidRPr="00404A92">
        <w:rPr>
          <w:rFonts w:ascii="Times New Roman" w:hAnsi="Times New Roman"/>
          <w:bCs/>
          <w:sz w:val="24"/>
          <w:szCs w:val="24"/>
        </w:rPr>
        <w:t xml:space="preserve"> + </w:t>
      </w:r>
      <w:r w:rsidRPr="00404A92">
        <w:rPr>
          <w:rFonts w:ascii="Times New Roman" w:hAnsi="Times New Roman"/>
          <w:sz w:val="24"/>
          <w:szCs w:val="24"/>
          <w:lang w:val="en-US"/>
        </w:rPr>
        <w:t>SO</w:t>
      </w:r>
      <w:r w:rsidRPr="00404A92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Pr="00404A92">
        <w:rPr>
          <w:rFonts w:ascii="Times New Roman" w:hAnsi="Times New Roman"/>
          <w:bCs/>
          <w:sz w:val="24"/>
          <w:szCs w:val="24"/>
          <w:vertAlign w:val="superscript"/>
        </w:rPr>
        <w:t xml:space="preserve"> -</w:t>
      </w:r>
      <w:r w:rsidRPr="00404A92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2</w:t>
      </w:r>
    </w:p>
    <w:p w14:paraId="14A07487" w14:textId="77777777" w:rsidR="00C00A59" w:rsidRPr="00404A92" w:rsidRDefault="00E934F8" w:rsidP="005A1C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</w:rPr>
        <w:t xml:space="preserve">Интенсивность низкотемпературного </w:t>
      </w:r>
      <w:proofErr w:type="spellStart"/>
      <w:proofErr w:type="gramStart"/>
      <w:r w:rsidRPr="00404A92">
        <w:rPr>
          <w:rFonts w:ascii="Times New Roman" w:hAnsi="Times New Roman"/>
          <w:bCs/>
          <w:sz w:val="24"/>
          <w:szCs w:val="24"/>
        </w:rPr>
        <w:t>накипеобразования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</w:p>
    <w:p w14:paraId="6AA32865" w14:textId="77777777" w:rsidR="00C00A59" w:rsidRPr="00404A92" w:rsidRDefault="00E934F8" w:rsidP="005A1C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4A92">
        <w:rPr>
          <w:rFonts w:ascii="Times New Roman" w:hAnsi="Times New Roman"/>
          <w:bCs/>
          <w:sz w:val="24"/>
          <w:szCs w:val="24"/>
        </w:rPr>
        <w:t xml:space="preserve">Интенсивность сульфидного загрязнения воды, определяемого по 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перманганатной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 xml:space="preserve"> окисляемости питьевой воды (С, </w:t>
      </w:r>
      <w:proofErr w:type="spellStart"/>
      <w:r w:rsidRPr="00404A92">
        <w:rPr>
          <w:rFonts w:ascii="Times New Roman" w:hAnsi="Times New Roman"/>
          <w:bCs/>
          <w:sz w:val="24"/>
          <w:szCs w:val="24"/>
        </w:rPr>
        <w:t>мгО</w:t>
      </w:r>
      <w:proofErr w:type="spellEnd"/>
      <w:r w:rsidRPr="00404A92">
        <w:rPr>
          <w:rFonts w:ascii="Times New Roman" w:hAnsi="Times New Roman"/>
          <w:bCs/>
          <w:sz w:val="24"/>
          <w:szCs w:val="24"/>
        </w:rPr>
        <w:t xml:space="preserve">/л). </w:t>
      </w:r>
    </w:p>
    <w:p w14:paraId="1051A43A" w14:textId="77777777" w:rsidR="008C3797" w:rsidRDefault="008C3797" w:rsidP="008C37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797">
        <w:rPr>
          <w:rFonts w:ascii="Times New Roman" w:hAnsi="Times New Roman"/>
          <w:sz w:val="24"/>
          <w:szCs w:val="24"/>
        </w:rPr>
        <w:t xml:space="preserve">Область применении открытой системы теплоснабжения в зависимости от уровня </w:t>
      </w:r>
      <w:proofErr w:type="spellStart"/>
      <w:r w:rsidRPr="008C3797">
        <w:rPr>
          <w:rFonts w:ascii="Times New Roman" w:hAnsi="Times New Roman"/>
          <w:sz w:val="24"/>
          <w:szCs w:val="24"/>
        </w:rPr>
        <w:t>перманганатной</w:t>
      </w:r>
      <w:proofErr w:type="spellEnd"/>
      <w:r w:rsidRPr="008C3797">
        <w:rPr>
          <w:rFonts w:ascii="Times New Roman" w:hAnsi="Times New Roman"/>
          <w:sz w:val="24"/>
          <w:szCs w:val="24"/>
        </w:rPr>
        <w:t xml:space="preserve"> окисляемости и других показателей воды питьевого качества </w:t>
      </w:r>
      <w:r w:rsidR="00593CB9">
        <w:rPr>
          <w:rFonts w:ascii="Times New Roman" w:hAnsi="Times New Roman"/>
          <w:sz w:val="24"/>
          <w:szCs w:val="24"/>
        </w:rPr>
        <w:t>представлена в Таблице 1.</w:t>
      </w:r>
    </w:p>
    <w:p w14:paraId="27161060" w14:textId="77777777" w:rsidR="00593CB9" w:rsidRPr="00593CB9" w:rsidRDefault="00593CB9" w:rsidP="00C3117F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sz w:val="20"/>
          <w:szCs w:val="20"/>
        </w:rPr>
      </w:pPr>
      <w:r w:rsidRPr="00593CB9">
        <w:rPr>
          <w:rFonts w:ascii="Times New Roman" w:hAnsi="Times New Roman"/>
          <w:b/>
          <w:sz w:val="20"/>
          <w:szCs w:val="20"/>
        </w:rPr>
        <w:t>Таблица 1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63"/>
        <w:gridCol w:w="2004"/>
        <w:gridCol w:w="1543"/>
        <w:gridCol w:w="1543"/>
        <w:gridCol w:w="2004"/>
      </w:tblGrid>
      <w:tr w:rsidR="008C3797" w:rsidRPr="008C3797" w14:paraId="47F816D0" w14:textId="77777777" w:rsidTr="002F40EF">
        <w:trPr>
          <w:trHeight w:val="565"/>
        </w:trPr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7EFB69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3797">
              <w:rPr>
                <w:rFonts w:ascii="Times New Roman" w:hAnsi="Times New Roman"/>
                <w:sz w:val="20"/>
                <w:szCs w:val="20"/>
              </w:rPr>
              <w:t>Перманганатная</w:t>
            </w:r>
            <w:proofErr w:type="spellEnd"/>
            <w:r w:rsidRPr="008C3797">
              <w:rPr>
                <w:rFonts w:ascii="Times New Roman" w:hAnsi="Times New Roman"/>
                <w:sz w:val="20"/>
                <w:szCs w:val="20"/>
              </w:rPr>
              <w:t xml:space="preserve"> окисляемость воды С, </w:t>
            </w:r>
            <w:proofErr w:type="spellStart"/>
            <w:r w:rsidRPr="008C3797">
              <w:rPr>
                <w:rFonts w:ascii="Times New Roman" w:hAnsi="Times New Roman"/>
                <w:sz w:val="20"/>
                <w:szCs w:val="20"/>
              </w:rPr>
              <w:t>мгО</w:t>
            </w:r>
            <w:proofErr w:type="spellEnd"/>
            <w:r w:rsidRPr="008C3797">
              <w:rPr>
                <w:rFonts w:ascii="Times New Roman" w:hAnsi="Times New Roman"/>
                <w:sz w:val="20"/>
                <w:szCs w:val="20"/>
              </w:rPr>
              <w:t>/л</w:t>
            </w:r>
          </w:p>
        </w:tc>
        <w:tc>
          <w:tcPr>
            <w:tcW w:w="8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7F9806" w14:textId="77777777" w:rsidR="00C00A59" w:rsidRPr="008C3797" w:rsidRDefault="008C3797" w:rsidP="004B22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 xml:space="preserve">Суммарное содержание хлоридов и сульфатов,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 w:rsidR="004B22A3" w:rsidRPr="004B22A3">
              <w:rPr>
                <w:rFonts w:ascii="Times New Roman" w:hAnsi="Times New Roman"/>
                <w:sz w:val="20"/>
                <w:szCs w:val="20"/>
                <w:vertAlign w:val="superscript"/>
              </w:rPr>
              <w:t>–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2F4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2A3">
              <w:rPr>
                <w:rFonts w:ascii="Times New Roman" w:hAnsi="Times New Roman"/>
                <w:sz w:val="20"/>
                <w:szCs w:val="20"/>
                <w:lang w:val="en-US"/>
              </w:rPr>
              <w:t>SO</w:t>
            </w:r>
            <w:r w:rsidR="004B22A3" w:rsidRPr="004B22A3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="004B22A3" w:rsidRPr="004B22A3">
              <w:rPr>
                <w:rFonts w:ascii="Times New Roman" w:hAnsi="Times New Roman"/>
                <w:sz w:val="20"/>
                <w:szCs w:val="20"/>
                <w:vertAlign w:val="superscript"/>
              </w:rPr>
              <w:t>2–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>, мг/л</w:t>
            </w:r>
          </w:p>
        </w:tc>
      </w:tr>
      <w:tr w:rsidR="008C3797" w:rsidRPr="008C3797" w14:paraId="750883FD" w14:textId="77777777" w:rsidTr="00F0274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01457" w14:textId="77777777" w:rsidR="008C3797" w:rsidRPr="008C3797" w:rsidRDefault="008C3797" w:rsidP="00F027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68FADD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S -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любая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CBF08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S &gt; 50*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99270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50 &lt; S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sym w:font="Symbol" w:char="00A3"/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A3A855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S &gt; 150*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D8FF6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- любая*</w:t>
            </w:r>
          </w:p>
        </w:tc>
      </w:tr>
      <w:tr w:rsidR="008C3797" w:rsidRPr="008C3797" w14:paraId="17F92F3A" w14:textId="77777777" w:rsidTr="00F0274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C86E1" w14:textId="77777777" w:rsidR="008C3797" w:rsidRPr="008C3797" w:rsidRDefault="008C3797" w:rsidP="00F027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8F5D3F" w14:textId="77777777" w:rsidR="00C00A59" w:rsidRPr="008C3797" w:rsidRDefault="008C3797" w:rsidP="00F027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Карбонатный индекс 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>, (мг-</w:t>
            </w:r>
            <w:proofErr w:type="spellStart"/>
            <w:r w:rsidRPr="008C3797">
              <w:rPr>
                <w:rFonts w:ascii="Times New Roman" w:hAnsi="Times New Roman"/>
                <w:sz w:val="20"/>
                <w:szCs w:val="20"/>
              </w:rPr>
              <w:t>экв</w:t>
            </w:r>
            <w:proofErr w:type="spellEnd"/>
            <w:r w:rsidRPr="008C3797">
              <w:rPr>
                <w:rFonts w:ascii="Times New Roman" w:hAnsi="Times New Roman"/>
                <w:sz w:val="20"/>
                <w:szCs w:val="20"/>
              </w:rPr>
              <w:t>/л)</w:t>
            </w:r>
            <w:r w:rsidRPr="008C379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C3797" w:rsidRPr="008C3797" w14:paraId="58AA52D8" w14:textId="77777777" w:rsidTr="00F0274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588EE" w14:textId="77777777" w:rsidR="008C3797" w:rsidRPr="008C3797" w:rsidRDefault="008C3797" w:rsidP="00F0274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B2E986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&lt; 0,25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5BC6D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0,25 &lt; 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sym w:font="Symbol" w:char="00A3"/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AA074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2,0 &lt; 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sym w:font="Symbol" w:char="00A3"/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12,0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BA498B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12,0 &lt; 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sym w:font="Symbol" w:char="00A3"/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30,0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A45DAB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И</w:t>
            </w:r>
            <w:r w:rsidRPr="008C3797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&gt; </w:t>
            </w:r>
            <w:r w:rsidRPr="008C3797">
              <w:rPr>
                <w:rFonts w:ascii="Times New Roman" w:hAnsi="Times New Roman"/>
                <w:sz w:val="20"/>
                <w:szCs w:val="20"/>
              </w:rPr>
              <w:t>30</w:t>
            </w:r>
            <w:r w:rsidRPr="008C3797"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</w:p>
        </w:tc>
      </w:tr>
      <w:tr w:rsidR="008C3797" w:rsidRPr="008C3797" w14:paraId="09C52565" w14:textId="77777777" w:rsidTr="00F02745">
        <w:trPr>
          <w:trHeight w:val="2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90DA0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С &lt; 3</w:t>
            </w:r>
          </w:p>
        </w:tc>
        <w:tc>
          <w:tcPr>
            <w:tcW w:w="8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CC6ED8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</w:tr>
      <w:tr w:rsidR="008C3797" w:rsidRPr="008C3797" w14:paraId="69D89329" w14:textId="77777777" w:rsidTr="00F02745">
        <w:trPr>
          <w:trHeight w:val="2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84DC2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 xml:space="preserve">3 &lt; С </w:t>
            </w:r>
            <w:r w:rsidRPr="008C3797">
              <w:rPr>
                <w:rFonts w:ascii="Times New Roman" w:hAnsi="Times New Roman"/>
                <w:sz w:val="20"/>
                <w:szCs w:val="20"/>
              </w:rPr>
              <w:sym w:font="Symbol" w:char="00A3"/>
            </w:r>
            <w:r w:rsidRPr="008C3797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8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0C02E9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Допускается**</w:t>
            </w:r>
          </w:p>
        </w:tc>
      </w:tr>
      <w:tr w:rsidR="008C3797" w:rsidRPr="008C3797" w14:paraId="28B30BFD" w14:textId="77777777" w:rsidTr="00F02745">
        <w:trPr>
          <w:trHeight w:val="2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928907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С &gt; 5</w:t>
            </w:r>
          </w:p>
        </w:tc>
        <w:tc>
          <w:tcPr>
            <w:tcW w:w="8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9F920E" w14:textId="77777777" w:rsidR="00C00A59" w:rsidRPr="008C3797" w:rsidRDefault="008C3797" w:rsidP="00F0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797">
              <w:rPr>
                <w:rFonts w:ascii="Times New Roman" w:hAnsi="Times New Roman"/>
                <w:sz w:val="20"/>
                <w:szCs w:val="20"/>
              </w:rPr>
              <w:t>Не допускается</w:t>
            </w:r>
          </w:p>
        </w:tc>
      </w:tr>
    </w:tbl>
    <w:p w14:paraId="77DFA7C6" w14:textId="77777777" w:rsidR="00F02745" w:rsidRDefault="00F02745" w:rsidP="00F02745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02745">
        <w:rPr>
          <w:rFonts w:ascii="Times New Roman" w:hAnsi="Times New Roman"/>
          <w:sz w:val="20"/>
          <w:szCs w:val="20"/>
        </w:rPr>
        <w:t xml:space="preserve">** При дополнительной обработке воды на теплоисточнике для снижения </w:t>
      </w:r>
      <w:proofErr w:type="spellStart"/>
      <w:r w:rsidRPr="00F02745">
        <w:rPr>
          <w:rFonts w:ascii="Times New Roman" w:hAnsi="Times New Roman"/>
          <w:sz w:val="20"/>
          <w:szCs w:val="20"/>
        </w:rPr>
        <w:t>перманганатной</w:t>
      </w:r>
      <w:proofErr w:type="spellEnd"/>
      <w:r w:rsidRPr="00F02745">
        <w:rPr>
          <w:rFonts w:ascii="Times New Roman" w:hAnsi="Times New Roman"/>
          <w:sz w:val="20"/>
          <w:szCs w:val="20"/>
        </w:rPr>
        <w:t xml:space="preserve"> окисляемости. </w:t>
      </w:r>
    </w:p>
    <w:p w14:paraId="5A343FFA" w14:textId="77777777" w:rsidR="004B22A3" w:rsidRPr="00F02745" w:rsidRDefault="004B22A3" w:rsidP="00F02745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874D23" w14:textId="77777777" w:rsidR="00F02745" w:rsidRDefault="00F02745" w:rsidP="00F0274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745">
        <w:rPr>
          <w:rFonts w:ascii="Times New Roman" w:hAnsi="Times New Roman"/>
          <w:sz w:val="24"/>
          <w:szCs w:val="24"/>
        </w:rPr>
        <w:t>Рекомендуемые типы систем централизованного теплоснабжения в зависимости от показателей воды питьевого качества</w:t>
      </w:r>
      <w:r>
        <w:rPr>
          <w:rFonts w:ascii="Times New Roman" w:hAnsi="Times New Roman"/>
          <w:sz w:val="24"/>
          <w:szCs w:val="24"/>
        </w:rPr>
        <w:t xml:space="preserve"> представлены в Таблице 2.</w:t>
      </w:r>
    </w:p>
    <w:p w14:paraId="5EA70018" w14:textId="77777777" w:rsidR="00F02745" w:rsidRPr="00F02745" w:rsidRDefault="00F02745" w:rsidP="00C3117F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sz w:val="20"/>
          <w:szCs w:val="20"/>
        </w:rPr>
      </w:pPr>
      <w:r w:rsidRPr="00F02745">
        <w:rPr>
          <w:rFonts w:ascii="Times New Roman" w:hAnsi="Times New Roman"/>
          <w:b/>
          <w:sz w:val="20"/>
          <w:szCs w:val="20"/>
        </w:rPr>
        <w:t>Таблица 2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148"/>
        <w:gridCol w:w="1387"/>
        <w:gridCol w:w="1107"/>
        <w:gridCol w:w="1127"/>
        <w:gridCol w:w="1247"/>
        <w:gridCol w:w="1386"/>
        <w:gridCol w:w="1246"/>
      </w:tblGrid>
      <w:tr w:rsidR="004B22A3" w:rsidRPr="00F02745" w14:paraId="125E4F35" w14:textId="77777777" w:rsidTr="004B22A3">
        <w:trPr>
          <w:trHeight w:val="20"/>
        </w:trPr>
        <w:tc>
          <w:tcPr>
            <w:tcW w:w="8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B8464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745">
              <w:rPr>
                <w:rFonts w:ascii="Times New Roman" w:hAnsi="Times New Roman"/>
                <w:sz w:val="20"/>
                <w:szCs w:val="20"/>
              </w:rPr>
              <w:t>Перманганатная</w:t>
            </w:r>
            <w:proofErr w:type="spellEnd"/>
            <w:r w:rsidRPr="00F02745">
              <w:rPr>
                <w:rFonts w:ascii="Times New Roman" w:hAnsi="Times New Roman"/>
                <w:sz w:val="20"/>
                <w:szCs w:val="20"/>
              </w:rPr>
              <w:t xml:space="preserve"> окисляемость воды С, </w:t>
            </w:r>
            <w:proofErr w:type="spellStart"/>
            <w:r w:rsidRPr="00F02745">
              <w:rPr>
                <w:rFonts w:ascii="Times New Roman" w:hAnsi="Times New Roman"/>
                <w:sz w:val="20"/>
                <w:szCs w:val="20"/>
              </w:rPr>
              <w:t>мгО</w:t>
            </w:r>
            <w:proofErr w:type="spellEnd"/>
            <w:r w:rsidRPr="00F02745">
              <w:rPr>
                <w:rFonts w:ascii="Times New Roman" w:hAnsi="Times New Roman"/>
                <w:sz w:val="20"/>
                <w:szCs w:val="20"/>
              </w:rPr>
              <w:t>/л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2CAD7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- 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>любая</w:t>
            </w: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BC8421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S &gt; 50*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25C0BA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S &lt; 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5F7823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50 &lt; S &lt; 150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90A504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S &gt; 150*</w:t>
            </w:r>
          </w:p>
        </w:tc>
        <w:tc>
          <w:tcPr>
            <w:tcW w:w="12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175D2C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- 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>любая</w:t>
            </w: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</w:tr>
      <w:tr w:rsidR="004B22A3" w:rsidRPr="00F02745" w14:paraId="04325705" w14:textId="77777777" w:rsidTr="004B22A3">
        <w:trPr>
          <w:trHeight w:val="20"/>
        </w:trPr>
        <w:tc>
          <w:tcPr>
            <w:tcW w:w="8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15F26" w14:textId="77777777" w:rsidR="00F02745" w:rsidRPr="00F02745" w:rsidRDefault="00F02745" w:rsidP="00807C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7C05CE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2745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&lt; 0,25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F770E0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0,25 &lt; И</w:t>
            </w:r>
            <w:r w:rsidRPr="00F02745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&lt; 2,0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B20E54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2,0 &lt; И</w:t>
            </w:r>
            <w:r w:rsidRPr="00F02745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&lt; 12,0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DC8067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12,0 &lt; И</w:t>
            </w:r>
            <w:r w:rsidRPr="00F02745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745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30,0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369D04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2745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F02745">
              <w:rPr>
                <w:rFonts w:ascii="Times New Roman" w:hAnsi="Times New Roman"/>
                <w:sz w:val="20"/>
                <w:szCs w:val="20"/>
              </w:rPr>
              <w:t xml:space="preserve"> &gt; 30,0</w:t>
            </w:r>
          </w:p>
        </w:tc>
      </w:tr>
      <w:tr w:rsidR="001C3303" w:rsidRPr="00F02745" w14:paraId="6131B093" w14:textId="77777777" w:rsidTr="004B22A3">
        <w:trPr>
          <w:trHeight w:val="20"/>
        </w:trPr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410B43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До 3 включительно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9D126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(закрытая)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B98083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(открытая)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83F608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или открытая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285F1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(закрытая)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59641E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(закрытая)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628626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(открытая)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C142F0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(раздельная)</w:t>
            </w:r>
          </w:p>
        </w:tc>
      </w:tr>
      <w:tr w:rsidR="001C3303" w:rsidRPr="00F02745" w14:paraId="1E718E97" w14:textId="77777777" w:rsidTr="004B22A3">
        <w:trPr>
          <w:trHeight w:val="20"/>
        </w:trPr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FEADE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Свыше 3 до 5 включительно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F21CF6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(закрытая)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4E1329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или открытая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41E73B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(открытая)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50AC62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или закрытая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1FF72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(закрытая)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E19C11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(открытая)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2D2858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Открытая (раздельная)</w:t>
            </w:r>
          </w:p>
        </w:tc>
      </w:tr>
      <w:tr w:rsidR="001C3303" w:rsidRPr="00F02745" w14:paraId="06EEC9F7" w14:textId="77777777" w:rsidTr="004B22A3">
        <w:trPr>
          <w:trHeight w:val="20"/>
        </w:trPr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77E970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Свыше 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43121A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или раздельная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1A53EC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1274D4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8B8A9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(раздельная)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712ED1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Раздельная или закрытая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1DF8D7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Закрытая (раздельная)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0461F" w14:textId="77777777" w:rsidR="00C00A59" w:rsidRPr="00F02745" w:rsidRDefault="00F02745" w:rsidP="00807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45">
              <w:rPr>
                <w:rFonts w:ascii="Times New Roman" w:hAnsi="Times New Roman"/>
                <w:sz w:val="20"/>
                <w:szCs w:val="20"/>
              </w:rPr>
              <w:t>Раздельная</w:t>
            </w:r>
          </w:p>
        </w:tc>
      </w:tr>
    </w:tbl>
    <w:p w14:paraId="11C6ACC6" w14:textId="77777777" w:rsidR="00F02745" w:rsidRPr="00F02745" w:rsidRDefault="00F02745" w:rsidP="00CB48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02745">
        <w:rPr>
          <w:rFonts w:ascii="Times New Roman" w:hAnsi="Times New Roman"/>
          <w:sz w:val="20"/>
          <w:szCs w:val="20"/>
        </w:rPr>
        <w:t xml:space="preserve">Примечания </w:t>
      </w:r>
    </w:p>
    <w:p w14:paraId="0DDEE992" w14:textId="77777777" w:rsidR="00F02745" w:rsidRPr="00F02745" w:rsidRDefault="00F02745" w:rsidP="00CB48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02745">
        <w:rPr>
          <w:rFonts w:ascii="Times New Roman" w:hAnsi="Times New Roman"/>
          <w:sz w:val="20"/>
          <w:szCs w:val="20"/>
        </w:rPr>
        <w:t xml:space="preserve">1. Указанная в скобках система менее предпочтительна. </w:t>
      </w:r>
    </w:p>
    <w:p w14:paraId="3BB33E03" w14:textId="77777777" w:rsidR="00F02745" w:rsidRPr="00F02745" w:rsidRDefault="00F02745" w:rsidP="00CB48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02745">
        <w:rPr>
          <w:rFonts w:ascii="Times New Roman" w:hAnsi="Times New Roman"/>
          <w:sz w:val="20"/>
          <w:szCs w:val="20"/>
        </w:rPr>
        <w:t>2. Рекомендации не распространяются на случаи, когда качество воды не отвечает требованиям СанПиН 2.1.4.559-96 по органолептическим показателя</w:t>
      </w:r>
      <w:r w:rsidR="00CB4842">
        <w:rPr>
          <w:rFonts w:ascii="Times New Roman" w:hAnsi="Times New Roman"/>
          <w:sz w:val="20"/>
          <w:szCs w:val="20"/>
        </w:rPr>
        <w:t xml:space="preserve"> </w:t>
      </w:r>
      <w:r w:rsidRPr="00F02745">
        <w:rPr>
          <w:rFonts w:ascii="Times New Roman" w:hAnsi="Times New Roman"/>
          <w:sz w:val="20"/>
          <w:szCs w:val="20"/>
        </w:rPr>
        <w:t xml:space="preserve">м. </w:t>
      </w:r>
      <w:proofErr w:type="gramStart"/>
      <w:r w:rsidRPr="00F02745">
        <w:rPr>
          <w:rFonts w:ascii="Times New Roman" w:hAnsi="Times New Roman"/>
          <w:sz w:val="20"/>
          <w:szCs w:val="20"/>
        </w:rPr>
        <w:t>Ж</w:t>
      </w:r>
      <w:r w:rsidRPr="00F02745">
        <w:rPr>
          <w:rFonts w:ascii="Times New Roman" w:hAnsi="Times New Roman"/>
          <w:sz w:val="20"/>
          <w:szCs w:val="20"/>
          <w:vertAlign w:val="subscript"/>
        </w:rPr>
        <w:t>о</w:t>
      </w:r>
      <w:r w:rsidRPr="00F02745">
        <w:rPr>
          <w:rFonts w:ascii="Times New Roman" w:hAnsi="Times New Roman"/>
          <w:sz w:val="20"/>
          <w:szCs w:val="20"/>
        </w:rPr>
        <w:t xml:space="preserve"> &gt;</w:t>
      </w:r>
      <w:proofErr w:type="gramEnd"/>
      <w:r w:rsidRPr="00F02745">
        <w:rPr>
          <w:rFonts w:ascii="Times New Roman" w:hAnsi="Times New Roman"/>
          <w:sz w:val="20"/>
          <w:szCs w:val="20"/>
        </w:rPr>
        <w:t xml:space="preserve"> 10 мг-</w:t>
      </w:r>
      <w:proofErr w:type="spellStart"/>
      <w:r w:rsidRPr="00F02745">
        <w:rPr>
          <w:rFonts w:ascii="Times New Roman" w:hAnsi="Times New Roman"/>
          <w:sz w:val="20"/>
          <w:szCs w:val="20"/>
        </w:rPr>
        <w:t>экв</w:t>
      </w:r>
      <w:proofErr w:type="spellEnd"/>
      <w:r w:rsidRPr="00F02745">
        <w:rPr>
          <w:rFonts w:ascii="Times New Roman" w:hAnsi="Times New Roman"/>
          <w:sz w:val="20"/>
          <w:szCs w:val="20"/>
        </w:rPr>
        <w:t xml:space="preserve">/л и </w:t>
      </w:r>
      <w:proofErr w:type="spellStart"/>
      <w:r w:rsidRPr="00F02745">
        <w:rPr>
          <w:rFonts w:ascii="Times New Roman" w:hAnsi="Times New Roman"/>
          <w:sz w:val="20"/>
          <w:szCs w:val="20"/>
        </w:rPr>
        <w:t>Fе</w:t>
      </w:r>
      <w:proofErr w:type="spellEnd"/>
      <w:r w:rsidRPr="00F02745">
        <w:rPr>
          <w:rFonts w:ascii="Times New Roman" w:hAnsi="Times New Roman"/>
          <w:sz w:val="20"/>
          <w:szCs w:val="20"/>
        </w:rPr>
        <w:t xml:space="preserve"> &gt; 0,3 мг/л. </w:t>
      </w:r>
    </w:p>
    <w:p w14:paraId="665EC6DD" w14:textId="77777777" w:rsidR="00F02745" w:rsidRDefault="00F02745" w:rsidP="00CB48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02745">
        <w:rPr>
          <w:rFonts w:ascii="Times New Roman" w:hAnsi="Times New Roman"/>
          <w:sz w:val="20"/>
          <w:szCs w:val="20"/>
        </w:rPr>
        <w:t xml:space="preserve">3. В этих случаях ее показатели должны быть доведены до требований СанПиН 2.1.4.559-96. </w:t>
      </w:r>
    </w:p>
    <w:p w14:paraId="5CFFFAF4" w14:textId="77777777" w:rsidR="004B22A3" w:rsidRPr="00F02745" w:rsidRDefault="004B22A3" w:rsidP="00CB48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34B4758" w14:textId="77777777" w:rsidR="003C6D82" w:rsidRPr="003C6D82" w:rsidRDefault="003C6D82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C6D82">
        <w:rPr>
          <w:rFonts w:ascii="Times New Roman" w:hAnsi="Times New Roman"/>
          <w:b/>
          <w:sz w:val="24"/>
          <w:szCs w:val="24"/>
        </w:rPr>
        <w:t>Вопрос:</w:t>
      </w:r>
    </w:p>
    <w:p w14:paraId="59FCD99A" w14:textId="77777777" w:rsidR="00F02745" w:rsidRDefault="003C6D82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 есть, перевести систему теплоснабжения с открытым водоразбором на закрытую по ГВС на несколько млрд. рублей без НДС (примерно, 0,5 мл</w:t>
      </w:r>
      <w:r w:rsidR="00593426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z w:val="24"/>
          <w:szCs w:val="24"/>
        </w:rPr>
        <w:t>. рублей на 100 тыс. человек населения) нельзя?</w:t>
      </w:r>
    </w:p>
    <w:p w14:paraId="5434D298" w14:textId="77777777" w:rsidR="003C6D82" w:rsidRPr="003C6D82" w:rsidRDefault="003C6D82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C6D82">
        <w:rPr>
          <w:rFonts w:ascii="Times New Roman" w:hAnsi="Times New Roman"/>
          <w:b/>
          <w:sz w:val="24"/>
          <w:szCs w:val="24"/>
        </w:rPr>
        <w:t>Ответ:</w:t>
      </w:r>
    </w:p>
    <w:p w14:paraId="097FEF68" w14:textId="77777777" w:rsidR="003C6D82" w:rsidRDefault="000D09B5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 п</w:t>
      </w:r>
      <w:r w:rsidR="004965DF">
        <w:rPr>
          <w:rFonts w:ascii="Times New Roman" w:hAnsi="Times New Roman"/>
          <w:sz w:val="24"/>
          <w:szCs w:val="24"/>
        </w:rPr>
        <w:t>еревести – можно. Но если показатели качества воды в регионе не соответствуют оговорённым требованиям (помните? Местные условия?) - придётся вкладывать ещё столько же примерно каждые 3</w:t>
      </w:r>
      <w:r w:rsidR="004B22A3" w:rsidRPr="004B22A3">
        <w:rPr>
          <w:rFonts w:ascii="Times New Roman" w:hAnsi="Times New Roman"/>
          <w:sz w:val="24"/>
          <w:szCs w:val="24"/>
        </w:rPr>
        <w:t>-</w:t>
      </w:r>
      <w:r w:rsidR="004965DF">
        <w:rPr>
          <w:rFonts w:ascii="Times New Roman" w:hAnsi="Times New Roman"/>
          <w:sz w:val="24"/>
          <w:szCs w:val="24"/>
        </w:rPr>
        <w:t>4 года, кроме того, через несколько лет резко возрастёт повреждаемость трубопроводов системы теплоснабжения, включая магистральные.</w:t>
      </w:r>
    </w:p>
    <w:p w14:paraId="0C1028A0" w14:textId="77777777" w:rsidR="004B22A3" w:rsidRDefault="004B22A3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F32C4F" w14:textId="77777777" w:rsidR="00AD7C6B" w:rsidRPr="004B22A3" w:rsidRDefault="00AD7C6B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119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Почему же получилось так, что системы </w:t>
      </w:r>
      <w:r w:rsidR="00276353">
        <w:rPr>
          <w:rFonts w:ascii="Times New Roman" w:hAnsi="Times New Roman"/>
          <w:b/>
          <w:sz w:val="24"/>
          <w:szCs w:val="24"/>
        </w:rPr>
        <w:t xml:space="preserve">теплоснабжения по ГВС </w:t>
      </w:r>
      <w:r>
        <w:rPr>
          <w:rFonts w:ascii="Times New Roman" w:hAnsi="Times New Roman"/>
          <w:b/>
          <w:sz w:val="24"/>
          <w:szCs w:val="24"/>
        </w:rPr>
        <w:t>разные</w:t>
      </w:r>
      <w:r w:rsidR="004B22A3">
        <w:rPr>
          <w:rFonts w:ascii="Times New Roman" w:hAnsi="Times New Roman"/>
          <w:b/>
          <w:sz w:val="24"/>
          <w:szCs w:val="24"/>
        </w:rPr>
        <w:t>?</w:t>
      </w:r>
    </w:p>
    <w:p w14:paraId="25F7B6A8" w14:textId="77777777" w:rsidR="003C01A2" w:rsidRDefault="003455EB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По-моему мнению, наличие что систем теплоснабжения с открытым водоразбором, что закрытых систем теплоснабжения – технологический нонсенс, обусловленный тем, что государство на определенном этапе своего развития решает те задачи, которые являются важными именно для данного этап</w:t>
      </w:r>
      <w:r w:rsidR="007718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B1635D">
        <w:rPr>
          <w:rFonts w:ascii="Times New Roman" w:hAnsi="Times New Roman"/>
          <w:sz w:val="24"/>
          <w:szCs w:val="24"/>
        </w:rPr>
        <w:t xml:space="preserve"> Согласитесь, совмещение в одной системе транспорта тепловой энергии совершенно различной по своей структуре, режимам, величине и продолжительности работы в году тепловой нагрузки – это уже </w:t>
      </w:r>
      <w:r w:rsidR="0060189C">
        <w:rPr>
          <w:rFonts w:ascii="Times New Roman" w:hAnsi="Times New Roman"/>
          <w:sz w:val="24"/>
          <w:szCs w:val="24"/>
        </w:rPr>
        <w:t>парадокс сам по себе, который</w:t>
      </w:r>
      <w:r w:rsidR="00965659">
        <w:rPr>
          <w:rFonts w:ascii="Times New Roman" w:hAnsi="Times New Roman"/>
          <w:sz w:val="24"/>
          <w:szCs w:val="24"/>
        </w:rPr>
        <w:t>, однако, на тот момент</w:t>
      </w:r>
      <w:r w:rsidR="00064770">
        <w:rPr>
          <w:rFonts w:ascii="Times New Roman" w:hAnsi="Times New Roman"/>
          <w:sz w:val="24"/>
          <w:szCs w:val="24"/>
        </w:rPr>
        <w:t xml:space="preserve"> исторического развития</w:t>
      </w:r>
      <w:r w:rsidR="00965659">
        <w:rPr>
          <w:rFonts w:ascii="Times New Roman" w:hAnsi="Times New Roman"/>
          <w:sz w:val="24"/>
          <w:szCs w:val="24"/>
        </w:rPr>
        <w:t xml:space="preserve"> позволил сэкономить очень-очень много тонн стали</w:t>
      </w:r>
      <w:r w:rsidR="00420AC1">
        <w:rPr>
          <w:rFonts w:ascii="Times New Roman" w:hAnsi="Times New Roman"/>
          <w:sz w:val="24"/>
          <w:szCs w:val="24"/>
        </w:rPr>
        <w:t xml:space="preserve"> </w:t>
      </w:r>
      <w:r w:rsidR="00F119A9">
        <w:rPr>
          <w:rFonts w:ascii="Times New Roman" w:hAnsi="Times New Roman"/>
          <w:sz w:val="24"/>
          <w:szCs w:val="24"/>
        </w:rPr>
        <w:t>на</w:t>
      </w:r>
      <w:r w:rsidR="00420AC1">
        <w:rPr>
          <w:rFonts w:ascii="Times New Roman" w:hAnsi="Times New Roman"/>
          <w:sz w:val="24"/>
          <w:szCs w:val="24"/>
        </w:rPr>
        <w:t xml:space="preserve"> сооружени</w:t>
      </w:r>
      <w:r w:rsidR="00F119A9">
        <w:rPr>
          <w:rFonts w:ascii="Times New Roman" w:hAnsi="Times New Roman"/>
          <w:sz w:val="24"/>
          <w:szCs w:val="24"/>
        </w:rPr>
        <w:t>е</w:t>
      </w:r>
      <w:r w:rsidR="00420AC1">
        <w:rPr>
          <w:rFonts w:ascii="Times New Roman" w:hAnsi="Times New Roman"/>
          <w:sz w:val="24"/>
          <w:szCs w:val="24"/>
        </w:rPr>
        <w:t xml:space="preserve"> </w:t>
      </w:r>
      <w:r w:rsidR="00420AC1" w:rsidRPr="00420AC1">
        <w:rPr>
          <w:rFonts w:ascii="Times New Roman" w:hAnsi="Times New Roman"/>
          <w:b/>
          <w:sz w:val="24"/>
          <w:szCs w:val="24"/>
        </w:rPr>
        <w:t>РАЗДЕЛЬНЫХ СИСТЕМ</w:t>
      </w:r>
      <w:r w:rsidR="00965659">
        <w:rPr>
          <w:rFonts w:ascii="Times New Roman" w:hAnsi="Times New Roman"/>
          <w:sz w:val="24"/>
          <w:szCs w:val="24"/>
        </w:rPr>
        <w:t xml:space="preserve">, направив </w:t>
      </w:r>
      <w:r w:rsidR="00F119A9">
        <w:rPr>
          <w:rFonts w:ascii="Times New Roman" w:hAnsi="Times New Roman"/>
          <w:sz w:val="24"/>
          <w:szCs w:val="24"/>
        </w:rPr>
        <w:t>эту сталь</w:t>
      </w:r>
      <w:r w:rsidR="00965659">
        <w:rPr>
          <w:rFonts w:ascii="Times New Roman" w:hAnsi="Times New Roman"/>
          <w:sz w:val="24"/>
          <w:szCs w:val="24"/>
        </w:rPr>
        <w:t xml:space="preserve"> на развитие народного хозяйства, тем более, что за счет перекрёстного субсидирования </w:t>
      </w:r>
      <w:r w:rsidR="00D171FB">
        <w:rPr>
          <w:rFonts w:ascii="Times New Roman" w:hAnsi="Times New Roman"/>
          <w:sz w:val="24"/>
          <w:szCs w:val="24"/>
        </w:rPr>
        <w:t xml:space="preserve">затраты </w:t>
      </w:r>
      <w:r w:rsidR="00965659">
        <w:rPr>
          <w:rFonts w:ascii="Times New Roman" w:hAnsi="Times New Roman"/>
          <w:sz w:val="24"/>
          <w:szCs w:val="24"/>
        </w:rPr>
        <w:t>покрывал</w:t>
      </w:r>
      <w:r w:rsidR="00D171FB">
        <w:rPr>
          <w:rFonts w:ascii="Times New Roman" w:hAnsi="Times New Roman"/>
          <w:sz w:val="24"/>
          <w:szCs w:val="24"/>
        </w:rPr>
        <w:t>и</w:t>
      </w:r>
      <w:r w:rsidR="00965659">
        <w:rPr>
          <w:rFonts w:ascii="Times New Roman" w:hAnsi="Times New Roman"/>
          <w:sz w:val="24"/>
          <w:szCs w:val="24"/>
        </w:rPr>
        <w:t>сь</w:t>
      </w:r>
      <w:r w:rsidR="00D171FB">
        <w:rPr>
          <w:rFonts w:ascii="Times New Roman" w:hAnsi="Times New Roman"/>
          <w:sz w:val="24"/>
          <w:szCs w:val="24"/>
        </w:rPr>
        <w:t xml:space="preserve"> с лихвой</w:t>
      </w:r>
      <w:r w:rsidR="00B90901">
        <w:rPr>
          <w:rFonts w:ascii="Times New Roman" w:hAnsi="Times New Roman"/>
          <w:sz w:val="24"/>
          <w:szCs w:val="24"/>
        </w:rPr>
        <w:t xml:space="preserve"> даже с учётом так называемого «организованного </w:t>
      </w:r>
      <w:proofErr w:type="spellStart"/>
      <w:r w:rsidR="00B90901">
        <w:rPr>
          <w:rFonts w:ascii="Times New Roman" w:hAnsi="Times New Roman"/>
          <w:sz w:val="24"/>
          <w:szCs w:val="24"/>
        </w:rPr>
        <w:t>перетопа</w:t>
      </w:r>
      <w:proofErr w:type="spellEnd"/>
      <w:r w:rsidR="00B90901">
        <w:rPr>
          <w:rFonts w:ascii="Times New Roman" w:hAnsi="Times New Roman"/>
          <w:sz w:val="24"/>
          <w:szCs w:val="24"/>
        </w:rPr>
        <w:t>»</w:t>
      </w:r>
      <w:r w:rsidR="00D171FB">
        <w:rPr>
          <w:rFonts w:ascii="Times New Roman" w:hAnsi="Times New Roman"/>
          <w:sz w:val="24"/>
          <w:szCs w:val="24"/>
        </w:rPr>
        <w:t xml:space="preserve">. </w:t>
      </w:r>
    </w:p>
    <w:p w14:paraId="2B270A59" w14:textId="77777777" w:rsidR="004B6B8D" w:rsidRDefault="004B6B8D" w:rsidP="003C01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раздельной схемой подразумевается разделение систем отопления и горячего водоснабжения, так называемая, </w:t>
      </w:r>
      <w:proofErr w:type="spellStart"/>
      <w:r>
        <w:rPr>
          <w:rFonts w:ascii="Times New Roman" w:hAnsi="Times New Roman"/>
          <w:sz w:val="24"/>
          <w:szCs w:val="24"/>
        </w:rPr>
        <w:t>четырёхтрубка</w:t>
      </w:r>
      <w:proofErr w:type="spellEnd"/>
      <w:r>
        <w:rPr>
          <w:rFonts w:ascii="Times New Roman" w:hAnsi="Times New Roman"/>
          <w:sz w:val="24"/>
          <w:szCs w:val="24"/>
        </w:rPr>
        <w:t>. (Надеюсь, все представляют себе, как вместо подающего и обратного трубопроводов сетевой воды от источника теплоты проложены отдельно подающий и обратный трубопроводы сетевой воды на отопление, а также подающий и обратный (рециркуляционный) трубопроводы ГВС.</w:t>
      </w:r>
    </w:p>
    <w:p w14:paraId="13C4BE78" w14:textId="77777777" w:rsidR="003C01A2" w:rsidRDefault="003C01A2" w:rsidP="00661B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Цитирую </w:t>
      </w:r>
      <w:r w:rsidRPr="00611901">
        <w:rPr>
          <w:rFonts w:ascii="Times New Roman" w:hAnsi="Times New Roman"/>
          <w:sz w:val="24"/>
          <w:szCs w:val="24"/>
        </w:rPr>
        <w:t>СНиП 41-02-2003 «Тепловые сети»</w:t>
      </w:r>
      <w:r>
        <w:rPr>
          <w:rFonts w:ascii="Times New Roman" w:hAnsi="Times New Roman"/>
          <w:sz w:val="24"/>
          <w:szCs w:val="24"/>
        </w:rPr>
        <w:t xml:space="preserve"> п. </w:t>
      </w:r>
      <w:r>
        <w:rPr>
          <w:rFonts w:ascii="Times New Roman" w:hAnsi="Times New Roman"/>
          <w:b/>
          <w:bCs/>
          <w:szCs w:val="18"/>
        </w:rPr>
        <w:t>7</w:t>
      </w:r>
      <w:r w:rsidRPr="003C01A2">
        <w:rPr>
          <w:rFonts w:ascii="Times New Roman" w:hAnsi="Times New Roman"/>
          <w:sz w:val="24"/>
          <w:szCs w:val="24"/>
        </w:rPr>
        <w:t>.6</w:t>
      </w:r>
      <w:r>
        <w:rPr>
          <w:rFonts w:ascii="Times New Roman" w:hAnsi="Times New Roman"/>
          <w:sz w:val="24"/>
          <w:szCs w:val="24"/>
        </w:rPr>
        <w:t>:</w:t>
      </w:r>
    </w:p>
    <w:p w14:paraId="7DCBB5AA" w14:textId="77777777" w:rsidR="003C01A2" w:rsidRPr="003C01A2" w:rsidRDefault="003C01A2" w:rsidP="00661BDA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01A2">
        <w:rPr>
          <w:rFonts w:ascii="Times New Roman" w:hAnsi="Times New Roman"/>
          <w:i/>
          <w:sz w:val="24"/>
          <w:szCs w:val="24"/>
        </w:rPr>
        <w:t>При центральном качественно-количественном регулировании отпуска теплоты для подогрева воды в системах горячего водоснабжения потребителей температура воды в подающем трубопроводе должна быть:</w:t>
      </w:r>
    </w:p>
    <w:p w14:paraId="0B05442E" w14:textId="77777777" w:rsidR="003C01A2" w:rsidRPr="003C01A2" w:rsidRDefault="003C01A2" w:rsidP="00661BDA">
      <w:pPr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3C01A2">
        <w:rPr>
          <w:rFonts w:ascii="Times New Roman" w:hAnsi="Times New Roman"/>
          <w:i/>
          <w:sz w:val="24"/>
          <w:szCs w:val="24"/>
        </w:rPr>
        <w:t>для закрытых систем теплоснабжения — не менее 70 °С;</w:t>
      </w:r>
    </w:p>
    <w:p w14:paraId="64155148" w14:textId="77777777" w:rsidR="003C01A2" w:rsidRPr="003C01A2" w:rsidRDefault="003C01A2" w:rsidP="00661BDA">
      <w:pPr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3C01A2">
        <w:rPr>
          <w:rFonts w:ascii="Times New Roman" w:hAnsi="Times New Roman"/>
          <w:i/>
          <w:sz w:val="24"/>
          <w:szCs w:val="24"/>
        </w:rPr>
        <w:t>для открытых систем теплоснабжения — не менее 60 °С.</w:t>
      </w:r>
    </w:p>
    <w:p w14:paraId="20DC1651" w14:textId="77777777" w:rsidR="003C01A2" w:rsidRDefault="009D0D2F" w:rsidP="00661B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Абсолютно понятным должно быть </w:t>
      </w:r>
      <w:r w:rsidR="00275948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 xml:space="preserve">то, что поддержание такой </w:t>
      </w:r>
      <w:r w:rsidR="00BF13C8">
        <w:rPr>
          <w:rFonts w:ascii="Times New Roman" w:hAnsi="Times New Roman"/>
          <w:sz w:val="24"/>
          <w:szCs w:val="24"/>
        </w:rPr>
        <w:t xml:space="preserve">величины </w:t>
      </w:r>
      <w:r>
        <w:rPr>
          <w:rFonts w:ascii="Times New Roman" w:hAnsi="Times New Roman"/>
          <w:sz w:val="24"/>
          <w:szCs w:val="24"/>
        </w:rPr>
        <w:t xml:space="preserve">температуры сетевой воды в подающем трубопроводе при том, что температура сетевой воды начала отопительного сезона равна примерно 35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="00BF13C8">
        <w:rPr>
          <w:rFonts w:ascii="Times New Roman" w:hAnsi="Times New Roman"/>
          <w:sz w:val="24"/>
          <w:szCs w:val="24"/>
        </w:rPr>
        <w:t xml:space="preserve">, приведёт к </w:t>
      </w:r>
      <w:r w:rsidR="00174EA3">
        <w:rPr>
          <w:rFonts w:ascii="Times New Roman" w:hAnsi="Times New Roman"/>
          <w:sz w:val="24"/>
          <w:szCs w:val="24"/>
        </w:rPr>
        <w:t xml:space="preserve">значительным </w:t>
      </w:r>
      <w:proofErr w:type="spellStart"/>
      <w:r w:rsidR="00BF13C8">
        <w:rPr>
          <w:rFonts w:ascii="Times New Roman" w:hAnsi="Times New Roman"/>
          <w:sz w:val="24"/>
          <w:szCs w:val="24"/>
        </w:rPr>
        <w:t>перетопам</w:t>
      </w:r>
      <w:proofErr w:type="spellEnd"/>
      <w:r w:rsidR="00BF13C8">
        <w:rPr>
          <w:rFonts w:ascii="Times New Roman" w:hAnsi="Times New Roman"/>
          <w:sz w:val="24"/>
          <w:szCs w:val="24"/>
        </w:rPr>
        <w:t xml:space="preserve"> потребителей</w:t>
      </w:r>
      <w:r w:rsidR="00174EA3">
        <w:rPr>
          <w:rFonts w:ascii="Times New Roman" w:hAnsi="Times New Roman"/>
          <w:sz w:val="24"/>
          <w:szCs w:val="24"/>
        </w:rPr>
        <w:t xml:space="preserve"> </w:t>
      </w:r>
      <w:r w:rsidR="00174EA3">
        <w:rPr>
          <w:rFonts w:ascii="Times New Roman" w:hAnsi="Times New Roman"/>
          <w:sz w:val="24"/>
          <w:szCs w:val="24"/>
        </w:rPr>
        <w:lastRenderedPageBreak/>
        <w:t>(вспоминаем начало и окончание отопительного периода, открытые форточки и т.д.)</w:t>
      </w:r>
      <w:r w:rsidR="00275948">
        <w:rPr>
          <w:rFonts w:ascii="Times New Roman" w:hAnsi="Times New Roman"/>
          <w:sz w:val="24"/>
          <w:szCs w:val="24"/>
        </w:rPr>
        <w:t>, чего никогда не может быть при раздельной схеме.</w:t>
      </w:r>
    </w:p>
    <w:p w14:paraId="3650EF21" w14:textId="77777777" w:rsidR="00841765" w:rsidRPr="003C6D82" w:rsidRDefault="00841765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C6D82">
        <w:rPr>
          <w:rFonts w:ascii="Times New Roman" w:hAnsi="Times New Roman"/>
          <w:b/>
          <w:sz w:val="24"/>
          <w:szCs w:val="24"/>
        </w:rPr>
        <w:t>Вопрос:</w:t>
      </w:r>
    </w:p>
    <w:p w14:paraId="59F28653" w14:textId="77777777" w:rsidR="004D407C" w:rsidRDefault="00841765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есть, наиболее правильной с точки зрения технологии является именно раздельная схема по ГВС?</w:t>
      </w:r>
    </w:p>
    <w:p w14:paraId="481806FA" w14:textId="77777777" w:rsidR="00D7299C" w:rsidRPr="003C6D82" w:rsidRDefault="00D7299C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C6D82">
        <w:rPr>
          <w:rFonts w:ascii="Times New Roman" w:hAnsi="Times New Roman"/>
          <w:b/>
          <w:sz w:val="24"/>
          <w:szCs w:val="24"/>
        </w:rPr>
        <w:t>Ответ:</w:t>
      </w:r>
    </w:p>
    <w:p w14:paraId="5CD08314" w14:textId="77777777" w:rsidR="004D407C" w:rsidRDefault="00146F40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Именно так. Если бы системы теплоснабжения были созданы именно таким образом, то не пришлось бы устанавливать приборы учёта у потребителей для фиксации организованного </w:t>
      </w:r>
      <w:proofErr w:type="spellStart"/>
      <w:r>
        <w:rPr>
          <w:rFonts w:ascii="Times New Roman" w:hAnsi="Times New Roman"/>
          <w:sz w:val="24"/>
          <w:szCs w:val="24"/>
        </w:rPr>
        <w:t>перетопа</w:t>
      </w:r>
      <w:proofErr w:type="spellEnd"/>
      <w:r w:rsidR="004876BC">
        <w:rPr>
          <w:rFonts w:ascii="Times New Roman" w:hAnsi="Times New Roman"/>
          <w:sz w:val="24"/>
          <w:szCs w:val="24"/>
        </w:rPr>
        <w:t xml:space="preserve"> в осеннее</w:t>
      </w:r>
      <w:r w:rsidR="004B22A3">
        <w:rPr>
          <w:rFonts w:ascii="Times New Roman" w:hAnsi="Times New Roman"/>
          <w:sz w:val="24"/>
          <w:szCs w:val="24"/>
        </w:rPr>
        <w:t>-</w:t>
      </w:r>
      <w:r w:rsidR="004876BC">
        <w:rPr>
          <w:rFonts w:ascii="Times New Roman" w:hAnsi="Times New Roman"/>
          <w:sz w:val="24"/>
          <w:szCs w:val="24"/>
        </w:rPr>
        <w:t>весенний период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="004F529E">
        <w:rPr>
          <w:rFonts w:ascii="Times New Roman" w:hAnsi="Times New Roman"/>
          <w:sz w:val="24"/>
          <w:szCs w:val="24"/>
        </w:rPr>
        <w:t xml:space="preserve">не понадобились бы никакие </w:t>
      </w:r>
      <w:r>
        <w:rPr>
          <w:rFonts w:ascii="Times New Roman" w:hAnsi="Times New Roman"/>
          <w:sz w:val="24"/>
          <w:szCs w:val="24"/>
        </w:rPr>
        <w:t xml:space="preserve">автоматизированные индивидуальные тепловые пункты для «экономии тепловой энергии». </w:t>
      </w:r>
      <w:r w:rsidR="00B16163">
        <w:rPr>
          <w:rFonts w:ascii="Times New Roman" w:hAnsi="Times New Roman"/>
          <w:sz w:val="24"/>
          <w:szCs w:val="24"/>
        </w:rPr>
        <w:t>В данном случае, оплата потребителями по приборам учета осенне</w:t>
      </w:r>
      <w:r w:rsidR="004B22A3">
        <w:rPr>
          <w:rFonts w:ascii="Times New Roman" w:hAnsi="Times New Roman"/>
          <w:sz w:val="24"/>
          <w:szCs w:val="24"/>
        </w:rPr>
        <w:t>-</w:t>
      </w:r>
      <w:r w:rsidR="00B16163">
        <w:rPr>
          <w:rFonts w:ascii="Times New Roman" w:hAnsi="Times New Roman"/>
          <w:sz w:val="24"/>
          <w:szCs w:val="24"/>
        </w:rPr>
        <w:t xml:space="preserve">весенних </w:t>
      </w:r>
      <w:proofErr w:type="spellStart"/>
      <w:r w:rsidR="00B16163">
        <w:rPr>
          <w:rFonts w:ascii="Times New Roman" w:hAnsi="Times New Roman"/>
          <w:sz w:val="24"/>
          <w:szCs w:val="24"/>
        </w:rPr>
        <w:t>перетопов</w:t>
      </w:r>
      <w:proofErr w:type="spellEnd"/>
      <w:r w:rsidR="00B16163">
        <w:rPr>
          <w:rFonts w:ascii="Times New Roman" w:hAnsi="Times New Roman"/>
          <w:sz w:val="24"/>
          <w:szCs w:val="24"/>
        </w:rPr>
        <w:t xml:space="preserve"> – это их добровольные пожертвования теплоснабжающим организациям за то, что когда-то не было сделано из-за довольно низкой стоимости тепла.</w:t>
      </w:r>
      <w:r w:rsidR="00B43277">
        <w:rPr>
          <w:rFonts w:ascii="Times New Roman" w:hAnsi="Times New Roman"/>
          <w:sz w:val="24"/>
          <w:szCs w:val="24"/>
        </w:rPr>
        <w:t xml:space="preserve"> Ведь установленные за деньги</w:t>
      </w:r>
      <w:r w:rsidR="00C407A7">
        <w:rPr>
          <w:rFonts w:ascii="Times New Roman" w:hAnsi="Times New Roman"/>
          <w:sz w:val="24"/>
          <w:szCs w:val="24"/>
        </w:rPr>
        <w:t xml:space="preserve"> потребителей</w:t>
      </w:r>
      <w:r w:rsidR="00B43277">
        <w:rPr>
          <w:rFonts w:ascii="Times New Roman" w:hAnsi="Times New Roman"/>
          <w:sz w:val="24"/>
          <w:szCs w:val="24"/>
        </w:rPr>
        <w:t xml:space="preserve"> приборы учет</w:t>
      </w:r>
      <w:r w:rsidR="000D33C1">
        <w:rPr>
          <w:rFonts w:ascii="Times New Roman" w:hAnsi="Times New Roman"/>
          <w:sz w:val="24"/>
          <w:szCs w:val="24"/>
        </w:rPr>
        <w:t>а</w:t>
      </w:r>
      <w:r w:rsidR="00B43277">
        <w:rPr>
          <w:rFonts w:ascii="Times New Roman" w:hAnsi="Times New Roman"/>
          <w:sz w:val="24"/>
          <w:szCs w:val="24"/>
        </w:rPr>
        <w:t xml:space="preserve">, фиксирующие явный </w:t>
      </w:r>
      <w:proofErr w:type="spellStart"/>
      <w:r w:rsidR="00B43277">
        <w:rPr>
          <w:rFonts w:ascii="Times New Roman" w:hAnsi="Times New Roman"/>
          <w:sz w:val="24"/>
          <w:szCs w:val="24"/>
        </w:rPr>
        <w:t>перетоп</w:t>
      </w:r>
      <w:proofErr w:type="spellEnd"/>
      <w:r w:rsidR="0015570C">
        <w:rPr>
          <w:rFonts w:ascii="Times New Roman" w:hAnsi="Times New Roman"/>
          <w:sz w:val="24"/>
          <w:szCs w:val="24"/>
        </w:rPr>
        <w:t xml:space="preserve"> в осеннее</w:t>
      </w:r>
      <w:r w:rsidR="004B22A3">
        <w:rPr>
          <w:rFonts w:ascii="Times New Roman" w:hAnsi="Times New Roman"/>
          <w:sz w:val="24"/>
          <w:szCs w:val="24"/>
        </w:rPr>
        <w:t>-</w:t>
      </w:r>
      <w:r w:rsidR="0015570C">
        <w:rPr>
          <w:rFonts w:ascii="Times New Roman" w:hAnsi="Times New Roman"/>
          <w:sz w:val="24"/>
          <w:szCs w:val="24"/>
        </w:rPr>
        <w:t>весенний период</w:t>
      </w:r>
      <w:r w:rsidR="00B43277">
        <w:rPr>
          <w:rFonts w:ascii="Times New Roman" w:hAnsi="Times New Roman"/>
          <w:sz w:val="24"/>
          <w:szCs w:val="24"/>
        </w:rPr>
        <w:t>, за который потребителю приходится платить и которого быть не должно, но он существует потому, что до 1991 года не была построена 4-х трубная система – это явное несоответствие!</w:t>
      </w:r>
      <w:r w:rsidR="00DB1B34">
        <w:rPr>
          <w:rFonts w:ascii="Times New Roman" w:hAnsi="Times New Roman"/>
          <w:sz w:val="24"/>
          <w:szCs w:val="24"/>
        </w:rPr>
        <w:t xml:space="preserve"> Разрыв шаблона, можно сказать! Так </w:t>
      </w:r>
      <w:r w:rsidR="00CA4A1C">
        <w:rPr>
          <w:rFonts w:ascii="Times New Roman" w:hAnsi="Times New Roman"/>
          <w:sz w:val="24"/>
          <w:szCs w:val="24"/>
        </w:rPr>
        <w:t>«</w:t>
      </w:r>
      <w:proofErr w:type="spellStart"/>
      <w:r w:rsidR="00DB1B34">
        <w:rPr>
          <w:rFonts w:ascii="Times New Roman" w:hAnsi="Times New Roman"/>
          <w:sz w:val="24"/>
          <w:szCs w:val="24"/>
        </w:rPr>
        <w:t>приборники</w:t>
      </w:r>
      <w:proofErr w:type="spellEnd"/>
      <w:r w:rsidR="00CA4A1C">
        <w:rPr>
          <w:rFonts w:ascii="Times New Roman" w:hAnsi="Times New Roman"/>
          <w:sz w:val="24"/>
          <w:szCs w:val="24"/>
        </w:rPr>
        <w:t>»</w:t>
      </w:r>
      <w:r w:rsidR="00DB1B34">
        <w:rPr>
          <w:rFonts w:ascii="Times New Roman" w:hAnsi="Times New Roman"/>
          <w:sz w:val="24"/>
          <w:szCs w:val="24"/>
        </w:rPr>
        <w:t xml:space="preserve"> ещё и радуются тому, что они «экономят»</w:t>
      </w:r>
      <w:r w:rsidR="00416EBF">
        <w:rPr>
          <w:rFonts w:ascii="Times New Roman" w:hAnsi="Times New Roman"/>
          <w:sz w:val="24"/>
          <w:szCs w:val="24"/>
        </w:rPr>
        <w:t xml:space="preserve"> (что далеко не факт!)</w:t>
      </w:r>
      <w:r w:rsidR="00DB1B34">
        <w:rPr>
          <w:rFonts w:ascii="Times New Roman" w:hAnsi="Times New Roman"/>
          <w:sz w:val="24"/>
          <w:szCs w:val="24"/>
        </w:rPr>
        <w:t xml:space="preserve">, так как </w:t>
      </w:r>
      <w:proofErr w:type="spellStart"/>
      <w:r w:rsidR="00DB1B34">
        <w:rPr>
          <w:rFonts w:ascii="Times New Roman" w:hAnsi="Times New Roman"/>
          <w:sz w:val="24"/>
          <w:szCs w:val="24"/>
        </w:rPr>
        <w:t>бесприборникам</w:t>
      </w:r>
      <w:proofErr w:type="spellEnd"/>
      <w:r w:rsidR="00DB1B34">
        <w:rPr>
          <w:rFonts w:ascii="Times New Roman" w:hAnsi="Times New Roman"/>
          <w:sz w:val="24"/>
          <w:szCs w:val="24"/>
        </w:rPr>
        <w:t xml:space="preserve"> расчет нормативов на отопление производят по отапливаемой площади помноженной на … некую нагрузку с м</w:t>
      </w:r>
      <w:r w:rsidR="00DB1B34">
        <w:rPr>
          <w:rFonts w:ascii="Times New Roman" w:hAnsi="Times New Roman"/>
          <w:sz w:val="24"/>
          <w:szCs w:val="24"/>
          <w:vertAlign w:val="superscript"/>
        </w:rPr>
        <w:t>2</w:t>
      </w:r>
      <w:r w:rsidR="00DB1B34">
        <w:rPr>
          <w:rFonts w:ascii="Times New Roman" w:hAnsi="Times New Roman"/>
          <w:sz w:val="24"/>
          <w:szCs w:val="24"/>
        </w:rPr>
        <w:t xml:space="preserve"> при СРЕДНЕЙ температуры наружного воздуха за отопительный период!</w:t>
      </w:r>
    </w:p>
    <w:p w14:paraId="46418370" w14:textId="77777777" w:rsidR="004B22A3" w:rsidRPr="00DB1B34" w:rsidRDefault="004B22A3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5C2C1D" w14:textId="77777777" w:rsidR="00DB4EA4" w:rsidRPr="00611901" w:rsidRDefault="00DB4EA4" w:rsidP="00DB4EA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11901">
        <w:rPr>
          <w:rFonts w:ascii="Times New Roman" w:hAnsi="Times New Roman"/>
          <w:b/>
          <w:sz w:val="24"/>
          <w:szCs w:val="24"/>
        </w:rPr>
        <w:t xml:space="preserve">. </w:t>
      </w:r>
      <w:r w:rsidR="005203A2">
        <w:rPr>
          <w:rFonts w:ascii="Times New Roman" w:hAnsi="Times New Roman"/>
          <w:b/>
          <w:sz w:val="24"/>
          <w:szCs w:val="24"/>
        </w:rPr>
        <w:t>Как же можно определить, какая система теплоснабжения по ГВС подходит именно для условий эксплуатации в данной местности</w:t>
      </w:r>
      <w:r w:rsidR="004B22A3">
        <w:rPr>
          <w:rFonts w:ascii="Times New Roman" w:hAnsi="Times New Roman"/>
          <w:b/>
          <w:sz w:val="24"/>
          <w:szCs w:val="24"/>
        </w:rPr>
        <w:t>?</w:t>
      </w:r>
    </w:p>
    <w:p w14:paraId="1D1538DE" w14:textId="77777777" w:rsidR="007C6847" w:rsidRDefault="009201FA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7E0E11">
        <w:rPr>
          <w:rFonts w:ascii="Times New Roman" w:hAnsi="Times New Roman"/>
          <w:sz w:val="24"/>
          <w:szCs w:val="24"/>
        </w:rPr>
        <w:t>знать</w:t>
      </w:r>
      <w:r w:rsidR="001A16A0">
        <w:rPr>
          <w:rFonts w:ascii="Times New Roman" w:hAnsi="Times New Roman"/>
          <w:sz w:val="24"/>
          <w:szCs w:val="24"/>
        </w:rPr>
        <w:t>, какая система теплоснабжения по ГВС является проектной. Предки работали чётко и качественно, свойства воды в каждой конкретной местности не изменяются тысячелетиями, если, конечно, источник тепловой энергии не переводили по исходной воде с артезианской на водопроводную и наоборот.</w:t>
      </w:r>
    </w:p>
    <w:p w14:paraId="52335871" w14:textId="77777777" w:rsidR="002B4364" w:rsidRDefault="009201FA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57DA">
        <w:rPr>
          <w:rFonts w:ascii="Times New Roman" w:hAnsi="Times New Roman"/>
          <w:sz w:val="24"/>
          <w:szCs w:val="24"/>
        </w:rPr>
        <w:t>ыполнить работу проектных институтов и самим попытаться пройти их путь.</w:t>
      </w:r>
      <w:r w:rsidR="00D80716">
        <w:rPr>
          <w:rFonts w:ascii="Times New Roman" w:hAnsi="Times New Roman"/>
          <w:sz w:val="24"/>
          <w:szCs w:val="24"/>
        </w:rPr>
        <w:t xml:space="preserve"> </w:t>
      </w:r>
      <w:r w:rsidR="00E80ED6">
        <w:rPr>
          <w:rFonts w:ascii="Times New Roman" w:hAnsi="Times New Roman"/>
          <w:sz w:val="24"/>
          <w:szCs w:val="24"/>
        </w:rPr>
        <w:t xml:space="preserve">На простых примерах попробую проиллюстрировать. </w:t>
      </w:r>
    </w:p>
    <w:p w14:paraId="16D4BEF2" w14:textId="77777777" w:rsidR="00E80ED6" w:rsidRDefault="002B4364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Однако,</w:t>
      </w:r>
      <w:r w:rsidR="00E80ED6">
        <w:rPr>
          <w:rFonts w:ascii="Times New Roman" w:hAnsi="Times New Roman"/>
          <w:sz w:val="24"/>
          <w:szCs w:val="24"/>
        </w:rPr>
        <w:t xml:space="preserve"> для этого </w:t>
      </w:r>
      <w:r>
        <w:rPr>
          <w:rFonts w:ascii="Times New Roman" w:hAnsi="Times New Roman"/>
          <w:sz w:val="24"/>
          <w:szCs w:val="24"/>
        </w:rPr>
        <w:t xml:space="preserve">анализа </w:t>
      </w:r>
      <w:r w:rsidR="00E80ED6">
        <w:rPr>
          <w:rFonts w:ascii="Times New Roman" w:hAnsi="Times New Roman"/>
          <w:sz w:val="24"/>
          <w:szCs w:val="24"/>
        </w:rPr>
        <w:t>необходимы данные замеров за довольно длительный период, так как свойства воды по временам года изменяются, иногда существенно.</w:t>
      </w:r>
      <w:r w:rsidR="007F0FA8">
        <w:rPr>
          <w:rFonts w:ascii="Times New Roman" w:hAnsi="Times New Roman"/>
          <w:sz w:val="24"/>
          <w:szCs w:val="24"/>
        </w:rPr>
        <w:t xml:space="preserve"> После обработки результаты сводятся в графики для анализа, примеры ниже.</w:t>
      </w:r>
    </w:p>
    <w:p w14:paraId="7AADFFDC" w14:textId="77777777" w:rsidR="004369EA" w:rsidRDefault="004369EA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9E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B65FBD" wp14:editId="63837AF9">
            <wp:extent cx="6409055" cy="4321834"/>
            <wp:effectExtent l="0" t="0" r="0" b="0"/>
            <wp:docPr id="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3D92BD" w14:textId="77777777" w:rsidR="004369EA" w:rsidRPr="004369EA" w:rsidRDefault="004369EA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369EA">
        <w:rPr>
          <w:rFonts w:ascii="Times New Roman" w:hAnsi="Times New Roman"/>
          <w:b/>
          <w:sz w:val="20"/>
          <w:szCs w:val="20"/>
        </w:rPr>
        <w:t>Рис. 1</w:t>
      </w:r>
    </w:p>
    <w:p w14:paraId="5532FADB" w14:textId="77777777" w:rsidR="004369EA" w:rsidRDefault="0055157C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5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118DD4" wp14:editId="2A7AE305">
            <wp:extent cx="6461125" cy="3933646"/>
            <wp:effectExtent l="0" t="0" r="0" b="0"/>
            <wp:docPr id="3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CE851E" w14:textId="77777777" w:rsidR="004369EA" w:rsidRPr="0055157C" w:rsidRDefault="0055157C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5157C">
        <w:rPr>
          <w:rFonts w:ascii="Times New Roman" w:hAnsi="Times New Roman"/>
          <w:b/>
          <w:sz w:val="20"/>
          <w:szCs w:val="20"/>
        </w:rPr>
        <w:t>Рис. 2</w:t>
      </w:r>
    </w:p>
    <w:p w14:paraId="50D5A4CB" w14:textId="77777777" w:rsidR="004369EA" w:rsidRDefault="0055157C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57C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640AF6" wp14:editId="64055888">
            <wp:extent cx="6546850" cy="2708695"/>
            <wp:effectExtent l="0" t="0" r="0" b="0"/>
            <wp:docPr id="4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1FD1DE" w14:textId="77777777" w:rsidR="0055157C" w:rsidRPr="0055157C" w:rsidRDefault="0055157C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5157C">
        <w:rPr>
          <w:rFonts w:ascii="Times New Roman" w:hAnsi="Times New Roman"/>
          <w:b/>
          <w:sz w:val="20"/>
          <w:szCs w:val="20"/>
        </w:rPr>
        <w:t xml:space="preserve">Рис.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72C30E7B" w14:textId="77777777" w:rsidR="0055157C" w:rsidRDefault="0055157C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0F86E9" w14:textId="77777777" w:rsidR="0055157C" w:rsidRDefault="0055157C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5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223917" wp14:editId="07F4FF7A">
            <wp:extent cx="6495415" cy="2820838"/>
            <wp:effectExtent l="0" t="0" r="0" b="0"/>
            <wp:docPr id="5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B766CC" w14:textId="77777777" w:rsidR="0055157C" w:rsidRPr="0055157C" w:rsidRDefault="0055157C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5157C">
        <w:rPr>
          <w:rFonts w:ascii="Times New Roman" w:hAnsi="Times New Roman"/>
          <w:b/>
          <w:sz w:val="20"/>
          <w:szCs w:val="20"/>
        </w:rPr>
        <w:t xml:space="preserve">Рис.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4CEF64E5" w14:textId="77777777" w:rsidR="0055157C" w:rsidRDefault="0055157C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5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F98FCF" wp14:editId="6D0EE3A5">
            <wp:extent cx="6512560" cy="2587924"/>
            <wp:effectExtent l="0" t="0" r="0" b="0"/>
            <wp:docPr id="6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FE754B" w14:textId="77777777" w:rsidR="0055157C" w:rsidRPr="0055157C" w:rsidRDefault="0055157C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5157C">
        <w:rPr>
          <w:rFonts w:ascii="Times New Roman" w:hAnsi="Times New Roman"/>
          <w:b/>
          <w:sz w:val="20"/>
          <w:szCs w:val="20"/>
        </w:rPr>
        <w:t xml:space="preserve">Рис. </w:t>
      </w:r>
      <w:r>
        <w:rPr>
          <w:rFonts w:ascii="Times New Roman" w:hAnsi="Times New Roman"/>
          <w:b/>
          <w:sz w:val="20"/>
          <w:szCs w:val="20"/>
        </w:rPr>
        <w:t>5</w:t>
      </w:r>
    </w:p>
    <w:p w14:paraId="3AE67864" w14:textId="77777777" w:rsidR="0055157C" w:rsidRDefault="0055157C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57C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401CE9" wp14:editId="09A20D1C">
            <wp:extent cx="6443932" cy="2820670"/>
            <wp:effectExtent l="0" t="0" r="0" b="0"/>
            <wp:docPr id="7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A56C5F" w14:textId="77777777" w:rsidR="0055157C" w:rsidRPr="0055157C" w:rsidRDefault="0055157C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5157C">
        <w:rPr>
          <w:rFonts w:ascii="Times New Roman" w:hAnsi="Times New Roman"/>
          <w:b/>
          <w:sz w:val="20"/>
          <w:szCs w:val="20"/>
        </w:rPr>
        <w:t xml:space="preserve">Рис. </w:t>
      </w:r>
      <w:r>
        <w:rPr>
          <w:rFonts w:ascii="Times New Roman" w:hAnsi="Times New Roman"/>
          <w:b/>
          <w:sz w:val="20"/>
          <w:szCs w:val="20"/>
        </w:rPr>
        <w:t>6</w:t>
      </w:r>
    </w:p>
    <w:p w14:paraId="033B3C67" w14:textId="77777777" w:rsidR="00E80ED6" w:rsidRDefault="00E80ED6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88DE43" w14:textId="77777777" w:rsidR="001A16A0" w:rsidRDefault="00F2676A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Графическое представление выводов по схеме теплоснабжения по ГВС представлено на Рис. 7.</w:t>
      </w:r>
    </w:p>
    <w:p w14:paraId="27C37594" w14:textId="77777777" w:rsidR="001A16A0" w:rsidRDefault="00F2676A" w:rsidP="00D80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7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DDA565" wp14:editId="5A1ECC56">
            <wp:extent cx="6521570" cy="3716655"/>
            <wp:effectExtent l="0" t="0" r="0" b="0"/>
            <wp:docPr id="9" name="Рисунок 7" descr="IMG-20200921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MG-20200921-WA0002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371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72F4" w14:textId="77777777" w:rsidR="001A16A0" w:rsidRPr="00F2676A" w:rsidRDefault="00F2676A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F2676A">
        <w:rPr>
          <w:rFonts w:ascii="Times New Roman" w:hAnsi="Times New Roman"/>
          <w:b/>
          <w:sz w:val="20"/>
          <w:szCs w:val="20"/>
        </w:rPr>
        <w:t>Рис. 7</w:t>
      </w:r>
    </w:p>
    <w:p w14:paraId="7780B95A" w14:textId="77777777" w:rsidR="001A16A0" w:rsidRPr="004719AC" w:rsidRDefault="004719AC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719AC">
        <w:rPr>
          <w:rFonts w:ascii="Times New Roman" w:hAnsi="Times New Roman"/>
          <w:b/>
          <w:sz w:val="24"/>
          <w:szCs w:val="24"/>
        </w:rPr>
        <w:t>Вывод:</w:t>
      </w:r>
    </w:p>
    <w:p w14:paraId="2053B32C" w14:textId="77777777" w:rsidR="007C6847" w:rsidRDefault="004719AC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рассматриваемой схемы теплоснабжения наиболее приемлема именно открытая схема</w:t>
      </w:r>
      <w:r w:rsidR="005120E8">
        <w:rPr>
          <w:rFonts w:ascii="Times New Roman" w:hAnsi="Times New Roman"/>
          <w:sz w:val="24"/>
          <w:szCs w:val="24"/>
        </w:rPr>
        <w:t xml:space="preserve"> – ну, </w:t>
      </w:r>
      <w:r w:rsidR="005A5709">
        <w:rPr>
          <w:rFonts w:ascii="Times New Roman" w:hAnsi="Times New Roman"/>
          <w:sz w:val="24"/>
          <w:szCs w:val="24"/>
        </w:rPr>
        <w:t xml:space="preserve">вот </w:t>
      </w:r>
      <w:r w:rsidR="005120E8">
        <w:rPr>
          <w:rFonts w:ascii="Times New Roman" w:hAnsi="Times New Roman"/>
          <w:sz w:val="24"/>
          <w:szCs w:val="24"/>
        </w:rPr>
        <w:t>вода у них такая…</w:t>
      </w:r>
    </w:p>
    <w:p w14:paraId="460D7407" w14:textId="77777777" w:rsidR="00D80716" w:rsidRDefault="00D80716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29109B" w14:textId="77777777" w:rsidR="00CC7FD7" w:rsidRDefault="00CC7FD7" w:rsidP="00CC7F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6119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А как </w:t>
      </w:r>
      <w:r w:rsidR="00FE3A41">
        <w:rPr>
          <w:rFonts w:ascii="Times New Roman" w:hAnsi="Times New Roman"/>
          <w:b/>
          <w:sz w:val="24"/>
          <w:szCs w:val="24"/>
        </w:rPr>
        <w:t>отличается</w:t>
      </w:r>
      <w:r>
        <w:rPr>
          <w:rFonts w:ascii="Times New Roman" w:hAnsi="Times New Roman"/>
          <w:b/>
          <w:sz w:val="24"/>
          <w:szCs w:val="24"/>
        </w:rPr>
        <w:t xml:space="preserve"> оснащение источника теплоты при работе на открытой и закрытой схеме теплоснабжения по ГВС?</w:t>
      </w:r>
    </w:p>
    <w:p w14:paraId="7B6EB889" w14:textId="77777777" w:rsidR="00CC7FD7" w:rsidRDefault="007D08EB" w:rsidP="00CC7F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Обратимся всё к тому же </w:t>
      </w:r>
      <w:r w:rsidRPr="00611901">
        <w:rPr>
          <w:rFonts w:ascii="Times New Roman" w:hAnsi="Times New Roman"/>
          <w:sz w:val="24"/>
          <w:szCs w:val="24"/>
        </w:rPr>
        <w:t>СНиП 41-02-2003 «Тепловые сети»</w:t>
      </w:r>
      <w:r>
        <w:rPr>
          <w:rFonts w:ascii="Times New Roman" w:hAnsi="Times New Roman"/>
          <w:sz w:val="24"/>
          <w:szCs w:val="24"/>
        </w:rPr>
        <w:t>:</w:t>
      </w:r>
    </w:p>
    <w:p w14:paraId="61AA62BE" w14:textId="77777777" w:rsidR="007D08EB" w:rsidRPr="007D08EB" w:rsidRDefault="007D08EB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7D08EB">
        <w:rPr>
          <w:rFonts w:ascii="Times New Roman" w:hAnsi="Times New Roman"/>
          <w:sz w:val="24"/>
          <w:szCs w:val="24"/>
          <w:u w:val="single"/>
        </w:rPr>
        <w:t xml:space="preserve">По производительности водоподготовки: </w:t>
      </w:r>
    </w:p>
    <w:p w14:paraId="609B0058" w14:textId="77777777" w:rsidR="007D08EB" w:rsidRPr="007D08EB" w:rsidRDefault="007D08EB" w:rsidP="007D08E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6.16 </w:t>
      </w:r>
      <w:r w:rsidRPr="007D08EB">
        <w:rPr>
          <w:rFonts w:ascii="Times New Roman" w:hAnsi="Times New Roman"/>
          <w:i/>
          <w:sz w:val="24"/>
          <w:szCs w:val="24"/>
        </w:rPr>
        <w:t>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принимать:</w:t>
      </w:r>
    </w:p>
    <w:p w14:paraId="35690A55" w14:textId="77777777" w:rsidR="007D08EB" w:rsidRPr="007D08EB" w:rsidRDefault="007D08EB" w:rsidP="007D08E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08EB">
        <w:rPr>
          <w:rFonts w:ascii="Times New Roman" w:hAnsi="Times New Roman"/>
          <w:i/>
          <w:sz w:val="24"/>
          <w:szCs w:val="24"/>
        </w:rPr>
        <w:t>в закрытых системах теплоснабжения — 0,75 % фактического объема воды в трубопроводах тепловых сетей и присоединенных к ним системах отопления и вентиляции зданий. При этом для участков тепловых сетей длиной более 5 км от источников теплоты без распределения теплоты расчетный расход воды следует принимать равным 0,5 % объема воды в этих трубопроводах;</w:t>
      </w:r>
    </w:p>
    <w:p w14:paraId="19BE3AF8" w14:textId="77777777" w:rsidR="007D08EB" w:rsidRPr="007D08EB" w:rsidRDefault="007D08EB" w:rsidP="007D08E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08EB">
        <w:rPr>
          <w:rFonts w:ascii="Times New Roman" w:hAnsi="Times New Roman"/>
          <w:i/>
          <w:sz w:val="24"/>
          <w:szCs w:val="24"/>
        </w:rPr>
        <w:t>в открытых системах теплоснабжения — равным расчетному среднему расходу воды на горячее водоснабжение с коэффициентом 1,2 плюс 0,75 % фактического объема воды в трубопроводах тепловых сетей и присоединенных к ним системах отопления, вентиляции и горячего водоснабжения зданий. При этом для участков тепловых сетей длиной более 5 км от источников теплоты без распределения теплоты расчетный расход воды следует принимать равным 0,5 % объема воды в этих трубопроводах;</w:t>
      </w:r>
    </w:p>
    <w:p w14:paraId="31E8F8A3" w14:textId="77777777" w:rsidR="007D08EB" w:rsidRPr="007D08EB" w:rsidRDefault="007D08EB" w:rsidP="007D08E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08EB">
        <w:rPr>
          <w:rFonts w:ascii="Times New Roman" w:hAnsi="Times New Roman"/>
          <w:i/>
          <w:sz w:val="24"/>
          <w:szCs w:val="24"/>
        </w:rPr>
        <w:t>для отдельных тепловых сетей горячего водоснабжения при наличии баков-аккумуляторов — равным расчетному среднему расходу воды на горячее водоснабжение с коэффициентом 1,2; при отсутствии баков — по максимальному расходу воды на горячее водоснабжение плюс (в обоих случаях) 0,75 % фактического объема воды в трубопроводах сетей и присоединенных к ним системах горячего водоснабжения зданий.</w:t>
      </w:r>
    </w:p>
    <w:p w14:paraId="51975610" w14:textId="77777777" w:rsidR="00630B10" w:rsidRPr="007D08EB" w:rsidRDefault="00630B10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7D08EB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>возможности аварийной подпитки</w:t>
      </w:r>
      <w:r w:rsidRPr="007D08EB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35CD7D47" w14:textId="77777777" w:rsidR="00630B10" w:rsidRPr="00630B10" w:rsidRDefault="00630B10" w:rsidP="00630B10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30B10">
        <w:rPr>
          <w:rFonts w:ascii="Times New Roman" w:hAnsi="Times New Roman"/>
          <w:i/>
          <w:sz w:val="24"/>
          <w:szCs w:val="24"/>
        </w:rPr>
        <w:t xml:space="preserve">6.17 Для открытых и закрытых систем теплоснабжения должна предусматриваться дополнительно аварийная подпитка химически не обработанной и </w:t>
      </w:r>
      <w:proofErr w:type="spellStart"/>
      <w:r w:rsidRPr="00630B10">
        <w:rPr>
          <w:rFonts w:ascii="Times New Roman" w:hAnsi="Times New Roman"/>
          <w:i/>
          <w:sz w:val="24"/>
          <w:szCs w:val="24"/>
        </w:rPr>
        <w:t>недеаэрированной</w:t>
      </w:r>
      <w:proofErr w:type="spellEnd"/>
      <w:r w:rsidRPr="00630B10">
        <w:rPr>
          <w:rFonts w:ascii="Times New Roman" w:hAnsi="Times New Roman"/>
          <w:i/>
          <w:sz w:val="24"/>
          <w:szCs w:val="24"/>
        </w:rPr>
        <w:t xml:space="preserve"> водой, расход которой принимается в количестве 2 % объема воды в трубопроводах тепловых сетей и присоединенных к ним системах отопления, вентиляции и в системах горячего водоснабжения для открытых систем теплоснабжения. </w:t>
      </w:r>
    </w:p>
    <w:p w14:paraId="274BE1FD" w14:textId="77777777" w:rsidR="00F0694B" w:rsidRPr="007D08EB" w:rsidRDefault="00F0694B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7D08EB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C83F0F">
        <w:rPr>
          <w:rFonts w:ascii="Times New Roman" w:hAnsi="Times New Roman"/>
          <w:sz w:val="24"/>
          <w:szCs w:val="24"/>
          <w:u w:val="single"/>
        </w:rPr>
        <w:t>ё</w:t>
      </w:r>
      <w:r>
        <w:rPr>
          <w:rFonts w:ascii="Times New Roman" w:hAnsi="Times New Roman"/>
          <w:sz w:val="24"/>
          <w:szCs w:val="24"/>
          <w:u w:val="single"/>
        </w:rPr>
        <w:t>мкости баков-аккумуляторов</w:t>
      </w:r>
      <w:r w:rsidRPr="007D08EB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5296E8B" w14:textId="77777777" w:rsidR="00F0694B" w:rsidRPr="00F0694B" w:rsidRDefault="00F0694B" w:rsidP="00F0694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694B">
        <w:rPr>
          <w:rFonts w:ascii="Times New Roman" w:hAnsi="Times New Roman"/>
          <w:i/>
          <w:sz w:val="24"/>
          <w:szCs w:val="24"/>
        </w:rPr>
        <w:t xml:space="preserve">6.20 Для открытых систем теплоснабжения, а также при отдельных тепловых сетях на горячее водоснабжение должны предусматриваться баки-аккумуляторы химически обработанной и </w:t>
      </w:r>
      <w:proofErr w:type="spellStart"/>
      <w:r w:rsidRPr="00F0694B">
        <w:rPr>
          <w:rFonts w:ascii="Times New Roman" w:hAnsi="Times New Roman"/>
          <w:i/>
          <w:sz w:val="24"/>
          <w:szCs w:val="24"/>
        </w:rPr>
        <w:t>деаэрированной</w:t>
      </w:r>
      <w:proofErr w:type="spellEnd"/>
      <w:r w:rsidRPr="00F0694B">
        <w:rPr>
          <w:rFonts w:ascii="Times New Roman" w:hAnsi="Times New Roman"/>
          <w:i/>
          <w:sz w:val="24"/>
          <w:szCs w:val="24"/>
        </w:rPr>
        <w:t xml:space="preserve"> подпиточной воды, расчетной вместимостью равной десятикратной величине среднечасового расхода воды на горячее водоснабжение.</w:t>
      </w:r>
    </w:p>
    <w:p w14:paraId="418296D9" w14:textId="77777777" w:rsidR="00F0694B" w:rsidRPr="00F0694B" w:rsidRDefault="00F0694B" w:rsidP="00F0694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694B">
        <w:rPr>
          <w:rFonts w:ascii="Times New Roman" w:hAnsi="Times New Roman"/>
          <w:i/>
          <w:sz w:val="24"/>
          <w:szCs w:val="24"/>
        </w:rPr>
        <w:t xml:space="preserve">6.21 В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</w:t>
      </w:r>
      <w:proofErr w:type="spellStart"/>
      <w:r w:rsidRPr="00F0694B">
        <w:rPr>
          <w:rFonts w:ascii="Times New Roman" w:hAnsi="Times New Roman"/>
          <w:i/>
          <w:sz w:val="24"/>
          <w:szCs w:val="24"/>
        </w:rPr>
        <w:lastRenderedPageBreak/>
        <w:t>деаэрированной</w:t>
      </w:r>
      <w:proofErr w:type="spellEnd"/>
      <w:r w:rsidRPr="00F0694B">
        <w:rPr>
          <w:rFonts w:ascii="Times New Roman" w:hAnsi="Times New Roman"/>
          <w:i/>
          <w:sz w:val="24"/>
          <w:szCs w:val="24"/>
        </w:rPr>
        <w:t xml:space="preserve"> подпиточной воды вместимостью 3 % объема воды в системе теплоснабжения, при этом должно обеспечиваться обновление воды в баках.</w:t>
      </w:r>
    </w:p>
    <w:p w14:paraId="49E1E031" w14:textId="77777777" w:rsidR="00F0694B" w:rsidRPr="00F0694B" w:rsidRDefault="00F0694B" w:rsidP="00F0694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694B">
        <w:rPr>
          <w:rFonts w:ascii="Times New Roman" w:hAnsi="Times New Roman"/>
          <w:i/>
          <w:sz w:val="24"/>
          <w:szCs w:val="24"/>
        </w:rPr>
        <w:t>Число баков независимо от системы теплоснабжения принимается не менее двух по 50 % рабочего объема.</w:t>
      </w:r>
    </w:p>
    <w:p w14:paraId="79629E13" w14:textId="77777777" w:rsidR="007C6847" w:rsidRPr="00713690" w:rsidRDefault="00713690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13690">
        <w:rPr>
          <w:rFonts w:ascii="Times New Roman" w:hAnsi="Times New Roman"/>
          <w:b/>
          <w:sz w:val="24"/>
          <w:szCs w:val="24"/>
        </w:rPr>
        <w:t>Вывод:</w:t>
      </w:r>
    </w:p>
    <w:p w14:paraId="57573CC8" w14:textId="77777777" w:rsidR="007C6847" w:rsidRDefault="00713690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точки зрения оснащения источника теплоты затрат на содержание и эксплуатацию системы теплоснабжения с открытым водоразбором нужно больше.</w:t>
      </w:r>
    </w:p>
    <w:p w14:paraId="48C3A47D" w14:textId="77777777" w:rsidR="00D80716" w:rsidRDefault="00D80716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8A3577" w14:textId="77777777" w:rsidR="007C4C2C" w:rsidRDefault="007C4C2C" w:rsidP="007C4C2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6119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А как отличаются режимы работы тепловых сетей при работе на открытой и закрытой</w:t>
      </w:r>
      <w:r w:rsidR="000769B3">
        <w:rPr>
          <w:rFonts w:ascii="Times New Roman" w:hAnsi="Times New Roman"/>
          <w:b/>
          <w:sz w:val="24"/>
          <w:szCs w:val="24"/>
        </w:rPr>
        <w:t xml:space="preserve"> или раздельной</w:t>
      </w:r>
      <w:r>
        <w:rPr>
          <w:rFonts w:ascii="Times New Roman" w:hAnsi="Times New Roman"/>
          <w:b/>
          <w:sz w:val="24"/>
          <w:szCs w:val="24"/>
        </w:rPr>
        <w:t xml:space="preserve"> схеме теплоснабжения по ГВС?</w:t>
      </w:r>
    </w:p>
    <w:p w14:paraId="1531D8D8" w14:textId="77777777" w:rsidR="007C6847" w:rsidRDefault="000769B3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в Таблице 5.1</w:t>
      </w:r>
    </w:p>
    <w:p w14:paraId="34589C4E" w14:textId="77777777" w:rsidR="000769B3" w:rsidRPr="000769B3" w:rsidRDefault="000769B3" w:rsidP="00C3117F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sz w:val="20"/>
          <w:szCs w:val="20"/>
        </w:rPr>
      </w:pPr>
      <w:r w:rsidRPr="000769B3">
        <w:rPr>
          <w:rFonts w:ascii="Times New Roman" w:hAnsi="Times New Roman"/>
          <w:b/>
          <w:sz w:val="20"/>
          <w:szCs w:val="20"/>
        </w:rPr>
        <w:t>Таблица 5.1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02"/>
        <w:gridCol w:w="3607"/>
        <w:gridCol w:w="3986"/>
      </w:tblGrid>
      <w:tr w:rsidR="000769B3" w14:paraId="3B4B68BF" w14:textId="77777777" w:rsidTr="00D80716">
        <w:tc>
          <w:tcPr>
            <w:tcW w:w="1276" w:type="pct"/>
            <w:vAlign w:val="center"/>
          </w:tcPr>
          <w:p w14:paraId="46711AE7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769" w:type="pct"/>
            <w:vAlign w:val="center"/>
          </w:tcPr>
          <w:p w14:paraId="7C21DD17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(в сравнении с открытой)</w:t>
            </w:r>
          </w:p>
        </w:tc>
        <w:tc>
          <w:tcPr>
            <w:tcW w:w="1956" w:type="pct"/>
            <w:vAlign w:val="center"/>
          </w:tcPr>
          <w:p w14:paraId="3A2BBF01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Отрицательное (в сравнении с открытой)</w:t>
            </w:r>
          </w:p>
        </w:tc>
      </w:tr>
      <w:tr w:rsidR="000769B3" w14:paraId="2DEE12F7" w14:textId="77777777" w:rsidTr="00D80716">
        <w:tc>
          <w:tcPr>
            <w:tcW w:w="1276" w:type="pct"/>
            <w:vAlign w:val="center"/>
          </w:tcPr>
          <w:p w14:paraId="56FE49FE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Раздельная</w:t>
            </w:r>
          </w:p>
        </w:tc>
        <w:tc>
          <w:tcPr>
            <w:tcW w:w="1769" w:type="pct"/>
            <w:vAlign w:val="center"/>
          </w:tcPr>
          <w:p w14:paraId="7469709C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 xml:space="preserve">Уход от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перетопов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потребителей от при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80716">
              <w:rPr>
                <w:rFonts w:ascii="Times New Roman" w:hAnsi="Times New Roman"/>
                <w:sz w:val="24"/>
                <w:szCs w:val="24"/>
                <w:vertAlign w:val="subscript"/>
              </w:rPr>
              <w:t>нр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от +8 до точки излома графика. Уход от повышенных тепловых потерь магистралями в летнее время. Снижение платежей потребителей за отопление из-за снижения потерь магистралями в летнее время</w:t>
            </w:r>
          </w:p>
        </w:tc>
        <w:tc>
          <w:tcPr>
            <w:tcW w:w="1956" w:type="pct"/>
            <w:vAlign w:val="center"/>
          </w:tcPr>
          <w:p w14:paraId="0C11FAA0" w14:textId="77777777" w:rsidR="000769B3" w:rsidRP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 xml:space="preserve">Затраты на новую систему ГВС </w:t>
            </w:r>
            <w:r>
              <w:rPr>
                <w:rFonts w:ascii="Times New Roman" w:hAnsi="Times New Roman"/>
                <w:sz w:val="24"/>
                <w:szCs w:val="24"/>
              </w:rPr>
              <w:t>от источника теплоты</w:t>
            </w:r>
          </w:p>
          <w:p w14:paraId="28C8799C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9B3" w14:paraId="1B9A91EE" w14:textId="77777777" w:rsidTr="00D80716">
        <w:tc>
          <w:tcPr>
            <w:tcW w:w="1276" w:type="pct"/>
            <w:vAlign w:val="center"/>
          </w:tcPr>
          <w:p w14:paraId="215A5789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потребителей на иные источники по ГВС</w:t>
            </w:r>
          </w:p>
        </w:tc>
        <w:tc>
          <w:tcPr>
            <w:tcW w:w="1769" w:type="pct"/>
            <w:vAlign w:val="center"/>
          </w:tcPr>
          <w:p w14:paraId="21DCF964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 xml:space="preserve">Уход от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перетопов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потребителей от при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80716">
              <w:rPr>
                <w:rFonts w:ascii="Times New Roman" w:hAnsi="Times New Roman"/>
                <w:sz w:val="24"/>
                <w:szCs w:val="24"/>
                <w:vertAlign w:val="subscript"/>
              </w:rPr>
              <w:t>нр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от +8 до точки излома графика. Снижение платежей потребителей за отопление из-за снижения потерь магистралями</w:t>
            </w:r>
          </w:p>
        </w:tc>
        <w:tc>
          <w:tcPr>
            <w:tcW w:w="1956" w:type="pct"/>
            <w:vAlign w:val="center"/>
          </w:tcPr>
          <w:p w14:paraId="355823E8" w14:textId="77777777" w:rsidR="000769B3" w:rsidRP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>Ухудшение экологической обстановки. Потеря рынка ГВС для источников централизованного теплоснабжения с передачей его «ИНЫМ» поставщикам</w:t>
            </w:r>
          </w:p>
          <w:p w14:paraId="11664610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9B3" w14:paraId="0162FE83" w14:textId="77777777" w:rsidTr="00D80716">
        <w:tc>
          <w:tcPr>
            <w:tcW w:w="1276" w:type="pct"/>
            <w:vAlign w:val="center"/>
          </w:tcPr>
          <w:p w14:paraId="13DD2132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Закрытая с установкой подогревателей ГВС в ИТП потребителей</w:t>
            </w:r>
          </w:p>
        </w:tc>
        <w:tc>
          <w:tcPr>
            <w:tcW w:w="1769" w:type="pct"/>
            <w:vAlign w:val="center"/>
          </w:tcPr>
          <w:p w14:paraId="254F2474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>Снижение затрат на подготовку воды на ТЭЦ. Снижение зат</w:t>
            </w:r>
            <w:r>
              <w:rPr>
                <w:rFonts w:ascii="Times New Roman" w:hAnsi="Times New Roman"/>
                <w:sz w:val="24"/>
                <w:szCs w:val="24"/>
              </w:rPr>
              <w:t>рат электроэнергии на перекачку</w:t>
            </w:r>
          </w:p>
        </w:tc>
        <w:tc>
          <w:tcPr>
            <w:tcW w:w="1956" w:type="pct"/>
            <w:vAlign w:val="center"/>
          </w:tcPr>
          <w:p w14:paraId="68362CD6" w14:textId="77777777" w:rsidR="000769B3" w:rsidRDefault="000769B3" w:rsidP="00605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9B3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перетопов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потребителей от при </w:t>
            </w:r>
            <w:proofErr w:type="spellStart"/>
            <w:r w:rsidRPr="000769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80716">
              <w:rPr>
                <w:rFonts w:ascii="Times New Roman" w:hAnsi="Times New Roman"/>
                <w:sz w:val="24"/>
                <w:szCs w:val="24"/>
                <w:vertAlign w:val="subscript"/>
              </w:rPr>
              <w:t>нр</w:t>
            </w:r>
            <w:proofErr w:type="spellEnd"/>
            <w:r w:rsidRPr="000769B3">
              <w:rPr>
                <w:rFonts w:ascii="Times New Roman" w:hAnsi="Times New Roman"/>
                <w:sz w:val="24"/>
                <w:szCs w:val="24"/>
              </w:rPr>
              <w:t xml:space="preserve"> от +8 до точки излома графика. Рост платежей потребителей за тепло из-за увеличения потерь магистралями в летнее время. Ухудшение гидравлических режимов из-за роста расхода сетевой воды по закрытой схеме, ухудшение гидравлической устойчивости системы из-за снижения отборов сетевой воды</w:t>
            </w:r>
          </w:p>
        </w:tc>
      </w:tr>
    </w:tbl>
    <w:p w14:paraId="4DCAA93A" w14:textId="77777777" w:rsidR="005D2D0B" w:rsidRPr="00713690" w:rsidRDefault="005D2D0B" w:rsidP="005D2D0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3690">
        <w:rPr>
          <w:rFonts w:ascii="Times New Roman" w:hAnsi="Times New Roman"/>
          <w:b/>
          <w:sz w:val="24"/>
          <w:szCs w:val="24"/>
        </w:rPr>
        <w:t>Вывод:</w:t>
      </w:r>
    </w:p>
    <w:p w14:paraId="72CAF467" w14:textId="77777777" w:rsidR="005D2D0B" w:rsidRDefault="005D2D0B" w:rsidP="005D2D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точки зрения режимов работы тепловых сетей закрытая схема хуже открытой, а затрат на оснащение теплосетей по закрытой схеме требуется много больше.</w:t>
      </w:r>
    </w:p>
    <w:p w14:paraId="6F0F1305" w14:textId="77777777" w:rsidR="00FE450D" w:rsidRPr="000827D2" w:rsidRDefault="00FE450D" w:rsidP="00FE450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27D2">
        <w:rPr>
          <w:rFonts w:ascii="Times New Roman" w:hAnsi="Times New Roman"/>
          <w:b/>
          <w:sz w:val="24"/>
          <w:szCs w:val="24"/>
        </w:rPr>
        <w:lastRenderedPageBreak/>
        <w:t>Прямо так-таки и тянет напомнить пока ещё действующий п. 6.6 СНиП 41-02-2003 «Тепловые сети»:</w:t>
      </w:r>
    </w:p>
    <w:p w14:paraId="30598D8B" w14:textId="77777777" w:rsidR="00FE450D" w:rsidRPr="00D80716" w:rsidRDefault="00FE450D" w:rsidP="00FE450D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11901">
        <w:rPr>
          <w:rFonts w:ascii="Times New Roman" w:hAnsi="Times New Roman"/>
          <w:i/>
          <w:sz w:val="24"/>
          <w:szCs w:val="24"/>
        </w:rPr>
        <w:t xml:space="preserve">Система теплоснабжения (открытая, закрытая, в том числе с отдельными сетями горячего водоснабжения, смешанная) выбирается на основе </w:t>
      </w:r>
      <w:r w:rsidRPr="00D80716">
        <w:rPr>
          <w:rFonts w:ascii="Times New Roman" w:hAnsi="Times New Roman"/>
          <w:i/>
          <w:sz w:val="24"/>
          <w:szCs w:val="24"/>
          <w:u w:val="single"/>
        </w:rPr>
        <w:t>представляемого проектной организацией технико-экономического сравнения различных систем с учетом местных экологических, экономических условий и последствий от принятия того или иного решения</w:t>
      </w:r>
      <w:r w:rsidRPr="00D80716">
        <w:rPr>
          <w:rFonts w:ascii="Times New Roman" w:hAnsi="Times New Roman"/>
          <w:i/>
          <w:sz w:val="24"/>
          <w:szCs w:val="24"/>
        </w:rPr>
        <w:t>.</w:t>
      </w:r>
    </w:p>
    <w:p w14:paraId="7697E888" w14:textId="77777777" w:rsidR="00D80716" w:rsidRDefault="00D80716" w:rsidP="0088092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CC09DD8" w14:textId="77777777" w:rsidR="0088092F" w:rsidRDefault="0088092F" w:rsidP="0088092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6119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А если всё-таки переходить на закрытую схему теплоснабжения по ГВС с установкой подогревателей, то какую схему присоединения подогревателей выбрать?</w:t>
      </w:r>
    </w:p>
    <w:p w14:paraId="44744BCC" w14:textId="77777777" w:rsidR="00CF465F" w:rsidRDefault="00E934F8" w:rsidP="00CF465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65F">
        <w:rPr>
          <w:rFonts w:ascii="Times New Roman" w:hAnsi="Times New Roman"/>
          <w:sz w:val="24"/>
          <w:szCs w:val="24"/>
        </w:rPr>
        <w:t xml:space="preserve">Переключение потребителей ГВС на закрытую схему с включением подогревателей ГВС на ТП потребителей </w:t>
      </w:r>
      <w:r w:rsidR="00CF465F">
        <w:rPr>
          <w:rFonts w:ascii="Times New Roman" w:hAnsi="Times New Roman"/>
          <w:sz w:val="24"/>
          <w:szCs w:val="24"/>
        </w:rPr>
        <w:t>можно выбрать по … трём вариантам.</w:t>
      </w:r>
    </w:p>
    <w:p w14:paraId="3C8CB344" w14:textId="77777777" w:rsidR="00C00A59" w:rsidRPr="00CF465F" w:rsidRDefault="00CF465F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Pr="00CF465F">
        <w:rPr>
          <w:rFonts w:ascii="Times New Roman" w:hAnsi="Times New Roman"/>
          <w:sz w:val="24"/>
          <w:szCs w:val="24"/>
        </w:rPr>
        <w:t>П</w:t>
      </w:r>
      <w:r w:rsidR="00E934F8" w:rsidRPr="00CF465F">
        <w:rPr>
          <w:rFonts w:ascii="Times New Roman" w:hAnsi="Times New Roman"/>
          <w:sz w:val="24"/>
          <w:szCs w:val="24"/>
        </w:rPr>
        <w:t xml:space="preserve">о последовательной схеме </w:t>
      </w:r>
    </w:p>
    <w:p w14:paraId="7CC60F97" w14:textId="77777777" w:rsidR="00CF465F" w:rsidRDefault="00CF465F" w:rsidP="00CF465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F46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91E55E" wp14:editId="7A193717">
            <wp:extent cx="3810330" cy="1562235"/>
            <wp:effectExtent l="19050" t="0" r="0" b="0"/>
            <wp:docPr id="10" name="Рисунок 9" descr="после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послед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1688" w14:textId="77777777" w:rsidR="00D80716" w:rsidRPr="00CF465F" w:rsidRDefault="00D80716" w:rsidP="00CF465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2DA30DB" w14:textId="77777777" w:rsidR="00CF465F" w:rsidRPr="00CF465F" w:rsidRDefault="00CF465F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</w:t>
      </w:r>
      <w:r w:rsidRPr="00CF465F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параллельной</w:t>
      </w:r>
      <w:r w:rsidRPr="00CF465F">
        <w:rPr>
          <w:rFonts w:ascii="Times New Roman" w:hAnsi="Times New Roman"/>
          <w:sz w:val="24"/>
          <w:szCs w:val="24"/>
        </w:rPr>
        <w:t xml:space="preserve"> схеме </w:t>
      </w:r>
    </w:p>
    <w:p w14:paraId="2791060B" w14:textId="77777777" w:rsidR="00CC7FD7" w:rsidRDefault="00CF465F" w:rsidP="00CF465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F46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63556F" wp14:editId="61D14256">
            <wp:extent cx="3810330" cy="1607959"/>
            <wp:effectExtent l="19050" t="0" r="0" b="0"/>
            <wp:docPr id="11" name="Рисунок 10" descr="парал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парал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AE97" w14:textId="77777777" w:rsidR="00D80716" w:rsidRDefault="00D80716" w:rsidP="00CF465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2B37B1F" w14:textId="77777777" w:rsidR="00CF465F" w:rsidRPr="00CF465F" w:rsidRDefault="00CF465F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С</w:t>
      </w:r>
      <w:r w:rsidRPr="00CF465F">
        <w:rPr>
          <w:rFonts w:ascii="Times New Roman" w:hAnsi="Times New Roman"/>
          <w:sz w:val="24"/>
          <w:szCs w:val="24"/>
        </w:rPr>
        <w:t xml:space="preserve"> включением подогревателей ГВС на ЦТП или крупных ТП по смешанной схеме</w:t>
      </w:r>
    </w:p>
    <w:p w14:paraId="2A872ACF" w14:textId="77777777" w:rsidR="00CC7FD7" w:rsidRDefault="00CF465F" w:rsidP="00CF465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F46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EAD43B" wp14:editId="52DC9FFE">
            <wp:extent cx="3810330" cy="1562235"/>
            <wp:effectExtent l="19050" t="0" r="0" b="0"/>
            <wp:docPr id="12" name="Рисунок 11" descr="смеш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смеш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FE50" w14:textId="77777777" w:rsidR="00905A19" w:rsidRPr="00713690" w:rsidRDefault="00905A19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13690">
        <w:rPr>
          <w:rFonts w:ascii="Times New Roman" w:hAnsi="Times New Roman"/>
          <w:b/>
          <w:sz w:val="24"/>
          <w:szCs w:val="24"/>
        </w:rPr>
        <w:lastRenderedPageBreak/>
        <w:t>Вывод:</w:t>
      </w:r>
    </w:p>
    <w:p w14:paraId="7C05FA3E" w14:textId="77777777" w:rsidR="00905A19" w:rsidRDefault="00311F20" w:rsidP="00905A19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Выбор на основании</w:t>
      </w:r>
      <w:r w:rsidR="00905A19">
        <w:rPr>
          <w:rFonts w:ascii="Times New Roman" w:hAnsi="Times New Roman"/>
          <w:b/>
          <w:i/>
          <w:sz w:val="24"/>
          <w:szCs w:val="24"/>
          <w:u w:val="single"/>
        </w:rPr>
        <w:t xml:space="preserve">… </w:t>
      </w:r>
      <w:r w:rsidR="00905A19" w:rsidRPr="00FE450D">
        <w:rPr>
          <w:rFonts w:ascii="Times New Roman" w:hAnsi="Times New Roman"/>
          <w:b/>
          <w:i/>
          <w:sz w:val="24"/>
          <w:szCs w:val="24"/>
          <w:u w:val="single"/>
        </w:rPr>
        <w:t>представляемого проектной организацией технико-экономического сравнения различных систем с учетом местных экологических, экономических условий и последствий от принятия того или иного решения</w:t>
      </w:r>
      <w:r w:rsidR="00905A19" w:rsidRPr="00611901">
        <w:rPr>
          <w:rFonts w:ascii="Times New Roman" w:hAnsi="Times New Roman"/>
          <w:i/>
          <w:sz w:val="24"/>
          <w:szCs w:val="24"/>
        </w:rPr>
        <w:t>.</w:t>
      </w:r>
    </w:p>
    <w:p w14:paraId="0C5E2768" w14:textId="77777777" w:rsidR="00D80716" w:rsidRPr="00611901" w:rsidRDefault="00D80716" w:rsidP="00905A19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31A7ADB" w14:textId="77777777" w:rsidR="00CC7FD7" w:rsidRPr="00CA40F1" w:rsidRDefault="00CA40F1" w:rsidP="00C3117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A40F1">
        <w:rPr>
          <w:rFonts w:ascii="Times New Roman" w:hAnsi="Times New Roman"/>
          <w:b/>
          <w:sz w:val="32"/>
          <w:szCs w:val="32"/>
        </w:rPr>
        <w:t>А теперь – фанфары!</w:t>
      </w:r>
    </w:p>
    <w:p w14:paraId="79E7CE44" w14:textId="77777777" w:rsidR="00CA40F1" w:rsidRPr="00CA40F1" w:rsidRDefault="00CA40F1" w:rsidP="00CA40F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</w:t>
      </w:r>
      <w:r w:rsidRPr="00CA40F1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CA40F1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29</w:t>
      </w:r>
      <w:r w:rsidR="00D80716">
        <w:rPr>
          <w:rFonts w:ascii="Times New Roman" w:hAnsi="Times New Roman"/>
          <w:sz w:val="24"/>
          <w:szCs w:val="24"/>
        </w:rPr>
        <w:t>.07.</w:t>
      </w:r>
      <w:r w:rsidRPr="00CA40F1">
        <w:rPr>
          <w:rFonts w:ascii="Times New Roman" w:hAnsi="Times New Roman"/>
          <w:sz w:val="24"/>
          <w:szCs w:val="24"/>
        </w:rPr>
        <w:t xml:space="preserve">2013 г. </w:t>
      </w:r>
      <w:r w:rsidR="00D80716">
        <w:rPr>
          <w:rFonts w:ascii="Times New Roman" w:hAnsi="Times New Roman"/>
          <w:sz w:val="24"/>
          <w:szCs w:val="24"/>
        </w:rPr>
        <w:t>№</w:t>
      </w:r>
      <w:r w:rsidRPr="00CA40F1">
        <w:rPr>
          <w:rFonts w:ascii="Times New Roman" w:hAnsi="Times New Roman"/>
          <w:sz w:val="24"/>
          <w:szCs w:val="24"/>
        </w:rPr>
        <w:t xml:space="preserve"> 642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0F1">
        <w:rPr>
          <w:rFonts w:ascii="Times New Roman" w:hAnsi="Times New Roman"/>
          <w:sz w:val="24"/>
          <w:szCs w:val="24"/>
        </w:rPr>
        <w:t xml:space="preserve">(в ред. Постановлений Правительства РФ от 23.12.2016 </w:t>
      </w:r>
      <w:r w:rsidR="00D80716">
        <w:rPr>
          <w:rFonts w:ascii="Times New Roman" w:hAnsi="Times New Roman"/>
          <w:sz w:val="24"/>
          <w:szCs w:val="24"/>
        </w:rPr>
        <w:t>№</w:t>
      </w:r>
      <w:r w:rsidRPr="00CA40F1">
        <w:rPr>
          <w:rFonts w:ascii="Times New Roman" w:hAnsi="Times New Roman"/>
          <w:sz w:val="24"/>
          <w:szCs w:val="24"/>
        </w:rPr>
        <w:t xml:space="preserve"> 1455, от 29.06.2017 </w:t>
      </w:r>
      <w:r w:rsidR="00D80716">
        <w:rPr>
          <w:rFonts w:ascii="Times New Roman" w:hAnsi="Times New Roman"/>
          <w:sz w:val="24"/>
          <w:szCs w:val="24"/>
        </w:rPr>
        <w:t>№</w:t>
      </w:r>
      <w:r w:rsidRPr="00CA40F1">
        <w:rPr>
          <w:rFonts w:ascii="Times New Roman" w:hAnsi="Times New Roman"/>
          <w:sz w:val="24"/>
          <w:szCs w:val="24"/>
        </w:rPr>
        <w:t xml:space="preserve"> 778, от 12.04.2018 N 448)</w:t>
      </w:r>
      <w:r>
        <w:rPr>
          <w:rFonts w:ascii="Times New Roman" w:hAnsi="Times New Roman"/>
          <w:sz w:val="24"/>
          <w:szCs w:val="24"/>
        </w:rPr>
        <w:t xml:space="preserve">, то есть, уже </w:t>
      </w:r>
      <w:r w:rsidRPr="001A5DC5">
        <w:rPr>
          <w:rFonts w:ascii="Times New Roman" w:hAnsi="Times New Roman"/>
          <w:sz w:val="24"/>
          <w:szCs w:val="24"/>
          <w:u w:val="single"/>
        </w:rPr>
        <w:t>после утверждения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. 8 и 9 Статьи 29 ФЗ «О теплоснабжении» появляются </w:t>
      </w:r>
      <w:r w:rsidRPr="00CA40F1">
        <w:rPr>
          <w:rFonts w:ascii="Times New Roman" w:hAnsi="Times New Roman"/>
          <w:b/>
          <w:sz w:val="24"/>
          <w:szCs w:val="24"/>
        </w:rPr>
        <w:t>ПРАВИЛА ГОРЯЧЕГО ВОДОСНАБЖЕНИЯ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CE0F512" w14:textId="77777777" w:rsidR="00D80716" w:rsidRDefault="00D80716" w:rsidP="00F0608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26A2CE" w14:textId="77777777" w:rsidR="00F06084" w:rsidRPr="00F06084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F06084">
        <w:rPr>
          <w:rFonts w:ascii="Times New Roman" w:hAnsi="Times New Roman"/>
          <w:b/>
          <w:bCs/>
          <w:sz w:val="24"/>
          <w:szCs w:val="24"/>
        </w:rPr>
        <w:t>ПРАВИЛА ГОРЯЧЕГО ВОДОСНАБЖЕНИЯ</w:t>
      </w:r>
    </w:p>
    <w:p w14:paraId="7E40AEEB" w14:textId="77777777" w:rsidR="00F06084" w:rsidRPr="00F06084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084">
        <w:rPr>
          <w:rFonts w:ascii="Times New Roman" w:hAnsi="Times New Roman"/>
          <w:sz w:val="24"/>
          <w:szCs w:val="24"/>
        </w:rPr>
        <w:t>Утверждены постановлением Правительства Российской Федерации от 29</w:t>
      </w:r>
      <w:r w:rsidR="00D80716">
        <w:rPr>
          <w:rFonts w:ascii="Times New Roman" w:hAnsi="Times New Roman"/>
          <w:sz w:val="24"/>
          <w:szCs w:val="24"/>
        </w:rPr>
        <w:t>.07.</w:t>
      </w:r>
      <w:r w:rsidRPr="00F06084">
        <w:rPr>
          <w:rFonts w:ascii="Times New Roman" w:hAnsi="Times New Roman"/>
          <w:sz w:val="24"/>
          <w:szCs w:val="24"/>
        </w:rPr>
        <w:t xml:space="preserve">2013 </w:t>
      </w:r>
      <w:r w:rsidR="00D80716">
        <w:rPr>
          <w:rFonts w:ascii="Times New Roman" w:hAnsi="Times New Roman"/>
          <w:sz w:val="24"/>
          <w:szCs w:val="24"/>
        </w:rPr>
        <w:t>№</w:t>
      </w:r>
      <w:r w:rsidRPr="00F06084">
        <w:rPr>
          <w:rFonts w:ascii="Times New Roman" w:hAnsi="Times New Roman"/>
          <w:sz w:val="24"/>
          <w:szCs w:val="24"/>
        </w:rPr>
        <w:t xml:space="preserve"> 642</w:t>
      </w:r>
      <w:r w:rsidR="00D80716">
        <w:rPr>
          <w:rFonts w:ascii="Times New Roman" w:hAnsi="Times New Roman"/>
          <w:sz w:val="24"/>
          <w:szCs w:val="24"/>
        </w:rPr>
        <w:t>:</w:t>
      </w:r>
    </w:p>
    <w:p w14:paraId="128377C4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b/>
          <w:bCs/>
          <w:i/>
          <w:sz w:val="24"/>
          <w:szCs w:val="24"/>
        </w:rPr>
        <w:t xml:space="preserve">Часть V. Порядок, сроки принятия и требования к содержанию решения органа местного самоуправления о прекращении горячего водоснабжения с использованием открытых систем теплоснабжения (горячего водоснабжения) </w:t>
      </w:r>
      <w:r w:rsidR="00D80716" w:rsidRPr="00D80716">
        <w:rPr>
          <w:rFonts w:ascii="Times New Roman" w:hAnsi="Times New Roman"/>
          <w:b/>
          <w:bCs/>
          <w:i/>
          <w:sz w:val="24"/>
          <w:szCs w:val="24"/>
        </w:rPr>
        <w:t xml:space="preserve">(пункты </w:t>
      </w:r>
      <w:r w:rsidRPr="00D80716">
        <w:rPr>
          <w:rFonts w:ascii="Times New Roman" w:hAnsi="Times New Roman"/>
          <w:b/>
          <w:bCs/>
          <w:i/>
          <w:sz w:val="24"/>
          <w:szCs w:val="24"/>
        </w:rPr>
        <w:t>117 – 124</w:t>
      </w:r>
      <w:r w:rsidR="00D80716" w:rsidRPr="00D80716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D80716">
        <w:rPr>
          <w:rFonts w:ascii="Times New Roman" w:hAnsi="Times New Roman"/>
          <w:i/>
          <w:sz w:val="24"/>
          <w:szCs w:val="24"/>
        </w:rPr>
        <w:t>:</w:t>
      </w:r>
    </w:p>
    <w:p w14:paraId="5896608F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117. Решение о прекращении горячего водоснабжения с использованием открытых систем теплоснабжения (горячего водоснабжения) и об организации перевода абонентов, подключенных (присоединенных) к таким системам, </w:t>
      </w:r>
      <w:r w:rsidRPr="00D80716">
        <w:rPr>
          <w:rFonts w:ascii="Times New Roman" w:hAnsi="Times New Roman"/>
          <w:b/>
          <w:bCs/>
          <w:i/>
          <w:sz w:val="24"/>
          <w:szCs w:val="24"/>
        </w:rPr>
        <w:t xml:space="preserve">на иную систему горячего водоснабжения </w:t>
      </w:r>
      <w:r w:rsidRPr="00D80716">
        <w:rPr>
          <w:rFonts w:ascii="Times New Roman" w:hAnsi="Times New Roman"/>
          <w:i/>
          <w:sz w:val="24"/>
          <w:szCs w:val="24"/>
          <w:u w:val="single"/>
        </w:rPr>
        <w:t>принимается органом местного самоуправления</w:t>
      </w:r>
      <w:r w:rsidRPr="00D80716">
        <w:rPr>
          <w:rFonts w:ascii="Times New Roman" w:hAnsi="Times New Roman"/>
          <w:i/>
          <w:sz w:val="24"/>
          <w:szCs w:val="24"/>
        </w:rPr>
        <w:t xml:space="preserve"> в отношении организации, осуществляющей горячее водоснабжение с использованием открытых систем теплоснабжения (горячего водоснабжения). </w:t>
      </w:r>
    </w:p>
    <w:p w14:paraId="1C033D4C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118. Для принятия решения орган местного самоуправления в течение 3 рабочих дней со дня получения уведомления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</w:t>
      </w:r>
      <w:r w:rsidRPr="00D80716">
        <w:rPr>
          <w:rFonts w:ascii="Times New Roman" w:hAnsi="Times New Roman"/>
          <w:b/>
          <w:bCs/>
          <w:i/>
          <w:sz w:val="24"/>
          <w:szCs w:val="24"/>
        </w:rPr>
        <w:t>о несоответствии средних уровней показателей проб горячей воды после ее приготовления нормативам качества горячей воды направляет организации, осуществляющей горячее водоснабжение с использованием открытых систем теплоснабжения (горячего водоснабжения), письменный запрос о представлении результатов технического обследования объектов и сетей открытой системы теплоснабжения (горячего водоснабжения)</w:t>
      </w:r>
      <w:r w:rsidRPr="00D80716">
        <w:rPr>
          <w:rFonts w:ascii="Times New Roman" w:hAnsi="Times New Roman"/>
          <w:i/>
          <w:sz w:val="24"/>
          <w:szCs w:val="24"/>
        </w:rPr>
        <w:t xml:space="preserve">, принадлежащих на законном основании организации, осуществляющей горячее водоснабжение, и ориентировочного плана мероприятий по приведению качества горячей воды в соответствие с установленными требованиями с указанием финансовых потребностей для реализации мероприятий при наличии технической возможности их проведения либо обоснования отсутствия технической возможности для проведения мероприятий. </w:t>
      </w:r>
    </w:p>
    <w:p w14:paraId="43533CF0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lastRenderedPageBreak/>
        <w:t xml:space="preserve">Указанная информация представляется в органы местного самоуправления в письменном виде с приложением обосновывающих документов и расчетов в течение 10 рабочих дней со дня получения соответствующего запроса. </w:t>
      </w:r>
    </w:p>
    <w:p w14:paraId="6B55A318" w14:textId="77777777" w:rsidR="00CC7FD7" w:rsidRPr="00D80716" w:rsidRDefault="00F06084" w:rsidP="009D73B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119. Орган местного самоуправления рассматривает представленные в соответствие с пунктом 118 настоящих Правил документы и в случае </w:t>
      </w:r>
      <w:r w:rsidRPr="00D80716">
        <w:rPr>
          <w:rFonts w:ascii="Times New Roman" w:hAnsi="Times New Roman"/>
          <w:b/>
          <w:i/>
          <w:sz w:val="24"/>
          <w:szCs w:val="24"/>
        </w:rPr>
        <w:t>наличия технической возможности для проведения мероприятий на основании представленного организацией, осуществляющей горячее водоснабжение с использованием открытых систем теплоснабжения (горячего водоснабжения), расчета финансовых потребностей для реализации таких мероприятий вносит изменения в техническое задание на разработку или корректировку инвестиционной программы в части учета мероприятий, за исключением случая, если низкое качество горячей воды вызвано несоответствием параметров тепловой энергии (теплоносителя), используемой для приготовления горячей воды, установленным требованиям.</w:t>
      </w:r>
    </w:p>
    <w:p w14:paraId="4F5EBCBD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120. В случае отсутствия технической возможности и (или) экономической нецелесообразности проведения мероприятий орган местного самоуправления в течение 8 рабочих дней со дня получения от организации, осуществляющей горячее водоснабжение с использованием открытых систем теплоснабжения (горячего водоснабжения), документов, указанных в пункте 118 настоящих Правил, направляет в такую организацию запрос о представлении информации о технической возможности перевода абонентов, подключенных к открытой системе теплоснабжения (горячего водоснабжения), на закрытую систему горячего водоснабжения с приложением ориентировочного плана мероприятий по переводу абонентов на закрытую систему горячего водоснабжения, предусматривающего финансовые потребности для реализации данных мероприятий.</w:t>
      </w:r>
    </w:p>
    <w:p w14:paraId="007B8398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Указанная информация представляется в орган местного самоуправления в письменном виде с приложением обосновывающих документов и расчетов в течение 20 рабочих дней со дня получения соответствующего запроса. </w:t>
      </w:r>
    </w:p>
    <w:p w14:paraId="1D740509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121. Орган местного самоуправления до 1 июля принимает решение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подключенных к таким системам, на иную систему горячего водоснабжения (далее - решение о прекращении горячего водоснабжения с использованием открытых систем теплоснабжения) на основании:</w:t>
      </w:r>
    </w:p>
    <w:p w14:paraId="06F1E132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а) информации, указанной в пункте 120 настоящих Правил;</w:t>
      </w:r>
    </w:p>
    <w:p w14:paraId="0858FF9D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б) ориентировочного плана мероприятий, подготовленного органом местного самоуправления (в том числе с привлечением экспертной организации), и расчета финансовых потребностей для перевода абонентов на осуществление горячего водоснабжения с использованием закрытых систем горячего водоснабжения, в том числе с устройством </w:t>
      </w:r>
      <w:r w:rsidRPr="00D80716">
        <w:rPr>
          <w:rFonts w:ascii="Times New Roman" w:hAnsi="Times New Roman"/>
          <w:i/>
          <w:sz w:val="24"/>
          <w:szCs w:val="24"/>
        </w:rPr>
        <w:lastRenderedPageBreak/>
        <w:t xml:space="preserve">индивидуальных тепловых пунктов с использованием тепловой энергии (теплоносителя), а также индивидуальных сооружений и устройств с использованием электрической энергии, газа для самостоятельного приготовления горячей воды. </w:t>
      </w:r>
    </w:p>
    <w:p w14:paraId="5952EDF5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122. Решение о прекращении горячего водоснабжения с использованием открытых систем теплоснабжения должно содержать:</w:t>
      </w:r>
    </w:p>
    <w:p w14:paraId="5D7FAFE0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а) наименование и реквизиты организации, осуществляющей горячее водоснабжение с использованием открытых систем теплоснабжения (горячего водоснабжения);</w:t>
      </w:r>
    </w:p>
    <w:p w14:paraId="068AFAB2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б) указание системы горячего водоснабжения (централизованная, нецентрализованная), с использованием которой будет осуществляться горячее водоснабжение абонентов;</w:t>
      </w:r>
    </w:p>
    <w:p w14:paraId="1CC03BBC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в) план мероприятий по прекращению горячего водоснабжения с использованием открытых систем теплоснабжения (горячего водоснабжения) и по организации перевода абонентов, подключенных к таким системам, на иную систему горячего водоснабжения с указанием сроков их реализации;</w:t>
      </w:r>
    </w:p>
    <w:p w14:paraId="15C05033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г) указание лиц, ответственных за выполнение мероприятий по переводу абонентов на иную систему горячего водоснабжения;</w:t>
      </w:r>
    </w:p>
    <w:p w14:paraId="0DD17126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д) источники финансирования мероприятий по переводу абонентов на иную систему горячего водоснабжения;</w:t>
      </w:r>
    </w:p>
    <w:p w14:paraId="36EE7042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е) отражение принятого решения в схемах водоснабжения, теплоснабжения, электроснабжения;</w:t>
      </w:r>
    </w:p>
    <w:p w14:paraId="74556951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ж) в случае принятия решения об использовании:</w:t>
      </w:r>
    </w:p>
    <w:p w14:paraId="0BB6445C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>централизованной системы горячего водоснабжения - информацию об организации, к которой следует обращаться заявителю для получения условий на подключение (присоединение) объекта к централизованной системе горячего водоснабжения, заключения договора о подключении (присоединении) объекта, которая обязана осуществить мероприятия по подключению (присоединению) объекта для перевода абонентов с использованием открытых систем теплоснабжения (горячего водоснабжения) на систему централизованного горячего водоснабжения с использованием закрытых систем горячего водоснабжения;</w:t>
      </w:r>
    </w:p>
    <w:p w14:paraId="6A6941AE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нецентрализованной системы горячего водоснабжения - информацию об организациях, к которым следует обращаться заявителю для осуществления мероприятий по переводу абонентов с использованием открытых систем теплоснабжения (горячего водоснабжения) на систему нецентрализованного (индивидуального) горячего водоснабжения с устройством индивидуальных тепловых пунктов, а также индивидуальных сооружений и устройств с использованием электрической энергии, газа для самостоятельного приготовления горячей воды. </w:t>
      </w:r>
    </w:p>
    <w:p w14:paraId="63099C41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123. Абонент, подключенный к открытой системе теплоснабжения (горячего водоснабжения), в отношении которого принято решение о прекращении горячего водоснабжения </w:t>
      </w:r>
      <w:r w:rsidRPr="00D80716">
        <w:rPr>
          <w:rFonts w:ascii="Times New Roman" w:hAnsi="Times New Roman"/>
          <w:i/>
          <w:sz w:val="24"/>
          <w:szCs w:val="24"/>
        </w:rPr>
        <w:lastRenderedPageBreak/>
        <w:t xml:space="preserve">с использованием открытых систем теплоснабжения, вправе до 1 ноября года, в котором принято указанное решение, направить в орган местного самоуправления предложение о своем переходе с открытой системы теплоснабжения (горячего водоснабжения) на нецентрализованную систему горячего водоснабжения с указанием вида сооружений и устройств, а также ресурсов (тепловая энергия, электрическая энергия, газ), которые будут использоваться им при самостоятельном приготовлении горячей воды. </w:t>
      </w:r>
    </w:p>
    <w:p w14:paraId="02BC66F9" w14:textId="77777777" w:rsidR="00F06084" w:rsidRPr="00D80716" w:rsidRDefault="00F06084" w:rsidP="00F0608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80716">
        <w:rPr>
          <w:rFonts w:ascii="Times New Roman" w:hAnsi="Times New Roman"/>
          <w:i/>
          <w:sz w:val="24"/>
          <w:szCs w:val="24"/>
        </w:rPr>
        <w:t xml:space="preserve">124. Решения органа местного самоуправления о прекращении горячего водоснабжения с использованием открытых систем теплоснабжения горячего водоснабжения ежегодно отражаются в схеме водоснабжения и водоотведения. </w:t>
      </w:r>
    </w:p>
    <w:p w14:paraId="10C70D84" w14:textId="77777777" w:rsidR="00CC7FD7" w:rsidRPr="00517C68" w:rsidRDefault="00517C68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7C68">
        <w:rPr>
          <w:rFonts w:ascii="Times New Roman" w:hAnsi="Times New Roman"/>
          <w:b/>
          <w:sz w:val="24"/>
          <w:szCs w:val="24"/>
        </w:rPr>
        <w:t>Вывод:</w:t>
      </w:r>
    </w:p>
    <w:p w14:paraId="3F5E3721" w14:textId="77777777" w:rsidR="00CC7FD7" w:rsidRDefault="00517C68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наличи</w:t>
      </w:r>
      <w:r w:rsidR="002F04C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9D73B2">
        <w:rPr>
          <w:rFonts w:ascii="Times New Roman" w:hAnsi="Times New Roman"/>
          <w:sz w:val="24"/>
          <w:szCs w:val="24"/>
        </w:rPr>
        <w:t>190-ФЗ от 27.07.2010 г. «О теплоснабжении»</w:t>
      </w:r>
      <w:r>
        <w:rPr>
          <w:rFonts w:ascii="Times New Roman" w:hAnsi="Times New Roman"/>
          <w:sz w:val="24"/>
          <w:szCs w:val="24"/>
        </w:rPr>
        <w:t xml:space="preserve"> пунктов о запрете подключения </w:t>
      </w:r>
      <w:r w:rsidRPr="009E1CFD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9E1CFD">
        <w:rPr>
          <w:rFonts w:ascii="Times New Roman" w:hAnsi="Times New Roman"/>
          <w:sz w:val="24"/>
          <w:szCs w:val="24"/>
        </w:rPr>
        <w:t>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</w:t>
      </w:r>
      <w:r>
        <w:rPr>
          <w:rFonts w:ascii="Times New Roman" w:hAnsi="Times New Roman"/>
          <w:sz w:val="24"/>
          <w:szCs w:val="24"/>
        </w:rPr>
        <w:t xml:space="preserve"> и недопустимости использования открытых схем после 01 января 2022 года</w:t>
      </w:r>
      <w:r w:rsidR="005B1769">
        <w:rPr>
          <w:rFonts w:ascii="Times New Roman" w:hAnsi="Times New Roman"/>
          <w:sz w:val="24"/>
          <w:szCs w:val="24"/>
        </w:rPr>
        <w:t xml:space="preserve"> решение об этом, в конечном итоге</w:t>
      </w:r>
      <w:r w:rsidR="002F04C4">
        <w:rPr>
          <w:rFonts w:ascii="Times New Roman" w:hAnsi="Times New Roman"/>
          <w:sz w:val="24"/>
          <w:szCs w:val="24"/>
        </w:rPr>
        <w:t>,</w:t>
      </w:r>
      <w:r w:rsidR="005B1769">
        <w:rPr>
          <w:rFonts w:ascii="Times New Roman" w:hAnsi="Times New Roman"/>
          <w:sz w:val="24"/>
          <w:szCs w:val="24"/>
        </w:rPr>
        <w:t xml:space="preserve"> принимается </w:t>
      </w:r>
      <w:r w:rsidR="005B1769" w:rsidRPr="00F06084">
        <w:rPr>
          <w:rFonts w:ascii="Times New Roman" w:hAnsi="Times New Roman"/>
          <w:sz w:val="24"/>
          <w:szCs w:val="24"/>
        </w:rPr>
        <w:t>орган</w:t>
      </w:r>
      <w:r w:rsidR="005B1769">
        <w:rPr>
          <w:rFonts w:ascii="Times New Roman" w:hAnsi="Times New Roman"/>
          <w:sz w:val="24"/>
          <w:szCs w:val="24"/>
        </w:rPr>
        <w:t>ом</w:t>
      </w:r>
      <w:r w:rsidR="005B1769" w:rsidRPr="00F06084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5B1769">
        <w:rPr>
          <w:rFonts w:ascii="Times New Roman" w:hAnsi="Times New Roman"/>
          <w:sz w:val="24"/>
          <w:szCs w:val="24"/>
        </w:rPr>
        <w:t>, на котор</w:t>
      </w:r>
      <w:r w:rsidR="00D80716">
        <w:rPr>
          <w:rFonts w:ascii="Times New Roman" w:hAnsi="Times New Roman"/>
          <w:sz w:val="24"/>
          <w:szCs w:val="24"/>
        </w:rPr>
        <w:t>ом</w:t>
      </w:r>
      <w:r w:rsidR="005B1769">
        <w:rPr>
          <w:rFonts w:ascii="Times New Roman" w:hAnsi="Times New Roman"/>
          <w:sz w:val="24"/>
          <w:szCs w:val="24"/>
        </w:rPr>
        <w:t xml:space="preserve"> и лежит вся ответственность.</w:t>
      </w:r>
    </w:p>
    <w:p w14:paraId="1C75C3FC" w14:textId="77777777" w:rsidR="00CC7FD7" w:rsidRDefault="00FB0A0B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Обязателен ли </w:t>
      </w:r>
      <w:r w:rsidRPr="009D73B2">
        <w:rPr>
          <w:rFonts w:ascii="Times New Roman" w:hAnsi="Times New Roman"/>
          <w:sz w:val="24"/>
          <w:szCs w:val="24"/>
        </w:rPr>
        <w:t>190-ФЗ от 27.07.2010 г. «О теплоснабжении»</w:t>
      </w:r>
      <w:r>
        <w:rPr>
          <w:rFonts w:ascii="Times New Roman" w:hAnsi="Times New Roman"/>
          <w:sz w:val="24"/>
          <w:szCs w:val="24"/>
        </w:rPr>
        <w:t xml:space="preserve"> к </w:t>
      </w:r>
      <w:r w:rsidR="00AE24B9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полнению – конечно!</w:t>
      </w:r>
    </w:p>
    <w:p w14:paraId="6CEC4999" w14:textId="77777777" w:rsidR="00AE24B9" w:rsidRDefault="00AE24B9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Обязательны ли Правила горячего водоснабжения № 642 </w:t>
      </w:r>
      <w:r w:rsidRPr="00F06084">
        <w:rPr>
          <w:rFonts w:ascii="Times New Roman" w:hAnsi="Times New Roman"/>
          <w:sz w:val="24"/>
          <w:szCs w:val="24"/>
        </w:rPr>
        <w:t>от 29 июля 2013 г.</w:t>
      </w:r>
      <w:r>
        <w:rPr>
          <w:rFonts w:ascii="Times New Roman" w:hAnsi="Times New Roman"/>
          <w:sz w:val="24"/>
          <w:szCs w:val="24"/>
        </w:rPr>
        <w:t xml:space="preserve"> к исполнению – конечно!</w:t>
      </w:r>
    </w:p>
    <w:p w14:paraId="3FD0757B" w14:textId="77777777" w:rsidR="00D77D1A" w:rsidRDefault="00D77D1A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фактически систем </w:t>
      </w:r>
      <w:r w:rsidR="00D74DB1">
        <w:rPr>
          <w:rFonts w:ascii="Times New Roman" w:hAnsi="Times New Roman"/>
          <w:sz w:val="24"/>
          <w:szCs w:val="24"/>
        </w:rPr>
        <w:t xml:space="preserve">централизованного </w:t>
      </w:r>
      <w:r>
        <w:rPr>
          <w:rFonts w:ascii="Times New Roman" w:hAnsi="Times New Roman"/>
          <w:sz w:val="24"/>
          <w:szCs w:val="24"/>
        </w:rPr>
        <w:t>теплоснабжения были</w:t>
      </w:r>
      <w:r w:rsidR="00D74DB1">
        <w:rPr>
          <w:rFonts w:ascii="Times New Roman" w:hAnsi="Times New Roman"/>
          <w:sz w:val="24"/>
          <w:szCs w:val="24"/>
        </w:rPr>
        <w:t xml:space="preserve"> полностью</w:t>
      </w:r>
      <w:r>
        <w:rPr>
          <w:rFonts w:ascii="Times New Roman" w:hAnsi="Times New Roman"/>
          <w:sz w:val="24"/>
          <w:szCs w:val="24"/>
        </w:rPr>
        <w:t xml:space="preserve"> переведены с даты принятия </w:t>
      </w:r>
      <w:r w:rsidRPr="009D73B2">
        <w:rPr>
          <w:rFonts w:ascii="Times New Roman" w:hAnsi="Times New Roman"/>
          <w:sz w:val="24"/>
          <w:szCs w:val="24"/>
        </w:rPr>
        <w:t>190-ФЗ от 27.07.2010 г. «О теплоснабжении»</w:t>
      </w:r>
      <w:r>
        <w:rPr>
          <w:rFonts w:ascii="Times New Roman" w:hAnsi="Times New Roman"/>
          <w:sz w:val="24"/>
          <w:szCs w:val="24"/>
        </w:rPr>
        <w:t xml:space="preserve"> с открытой на закрытую или раздельную? </w:t>
      </w:r>
    </w:p>
    <w:p w14:paraId="3B37D61C" w14:textId="77777777" w:rsidR="0024737D" w:rsidRDefault="0024737D" w:rsidP="009D73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</w:t>
      </w:r>
      <w:r w:rsidRPr="009E1CFD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9E1CFD">
        <w:rPr>
          <w:rFonts w:ascii="Times New Roman" w:hAnsi="Times New Roman"/>
          <w:sz w:val="24"/>
          <w:szCs w:val="24"/>
        </w:rPr>
        <w:t>апитального строительства потребителей</w:t>
      </w:r>
      <w:r>
        <w:rPr>
          <w:rFonts w:ascii="Times New Roman" w:hAnsi="Times New Roman"/>
          <w:sz w:val="24"/>
          <w:szCs w:val="24"/>
        </w:rPr>
        <w:t xml:space="preserve"> было подключено к «иным» источникам теплоты, а проще говоря, сколько потребителей потерял рынок централизованного теплоснабжения</w:t>
      </w:r>
      <w:r w:rsidR="00506C04">
        <w:rPr>
          <w:rFonts w:ascii="Times New Roman" w:hAnsi="Times New Roman"/>
          <w:sz w:val="24"/>
          <w:szCs w:val="24"/>
        </w:rPr>
        <w:t xml:space="preserve"> с открытой схемой по ГВС</w:t>
      </w:r>
      <w:r>
        <w:rPr>
          <w:rFonts w:ascii="Times New Roman" w:hAnsi="Times New Roman"/>
          <w:sz w:val="24"/>
          <w:szCs w:val="24"/>
        </w:rPr>
        <w:t xml:space="preserve"> – более 50 % от вновь подключенных зданий и сооружений.</w:t>
      </w:r>
    </w:p>
    <w:p w14:paraId="681DD59F" w14:textId="77777777" w:rsidR="00506C04" w:rsidRDefault="00506C04" w:rsidP="00506C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</w:t>
      </w:r>
      <w:r w:rsidRPr="009E1CFD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9E1CFD">
        <w:rPr>
          <w:rFonts w:ascii="Times New Roman" w:hAnsi="Times New Roman"/>
          <w:sz w:val="24"/>
          <w:szCs w:val="24"/>
        </w:rPr>
        <w:t>апитального строительства потребителей</w:t>
      </w:r>
      <w:r>
        <w:rPr>
          <w:rFonts w:ascii="Times New Roman" w:hAnsi="Times New Roman"/>
          <w:sz w:val="24"/>
          <w:szCs w:val="24"/>
        </w:rPr>
        <w:t xml:space="preserve"> было подключено к системам централизованного теплоснабжения с открытой схемой по ГВС по ЗАКРЫТОЙ схеме – </w:t>
      </w:r>
      <w:r w:rsidR="009A5DAC">
        <w:rPr>
          <w:rFonts w:ascii="Times New Roman" w:hAnsi="Times New Roman"/>
          <w:sz w:val="24"/>
          <w:szCs w:val="24"/>
        </w:rPr>
        <w:t>практически вся оставшаяся часть вновь подключенных зданий и сооружений после подключения остальных к «иным» источникам теплоты</w:t>
      </w:r>
      <w:r w:rsidR="00B75AC9">
        <w:rPr>
          <w:rFonts w:ascii="Times New Roman" w:hAnsi="Times New Roman"/>
          <w:sz w:val="24"/>
          <w:szCs w:val="24"/>
        </w:rPr>
        <w:t xml:space="preserve">, что ещё более усугубило </w:t>
      </w:r>
      <w:proofErr w:type="spellStart"/>
      <w:r w:rsidR="00B75AC9">
        <w:rPr>
          <w:rFonts w:ascii="Times New Roman" w:hAnsi="Times New Roman"/>
          <w:sz w:val="24"/>
          <w:szCs w:val="24"/>
        </w:rPr>
        <w:t>пе</w:t>
      </w:r>
      <w:r w:rsidR="001C3303">
        <w:rPr>
          <w:rFonts w:ascii="Times New Roman" w:hAnsi="Times New Roman"/>
          <w:sz w:val="24"/>
          <w:szCs w:val="24"/>
        </w:rPr>
        <w:t>ретопы</w:t>
      </w:r>
      <w:proofErr w:type="spellEnd"/>
      <w:r w:rsidR="001C3303">
        <w:rPr>
          <w:rFonts w:ascii="Times New Roman" w:hAnsi="Times New Roman"/>
          <w:sz w:val="24"/>
          <w:szCs w:val="24"/>
        </w:rPr>
        <w:t xml:space="preserve"> потребителей в осеннее-</w:t>
      </w:r>
      <w:r w:rsidR="00B75AC9">
        <w:rPr>
          <w:rFonts w:ascii="Times New Roman" w:hAnsi="Times New Roman"/>
          <w:sz w:val="24"/>
          <w:szCs w:val="24"/>
        </w:rPr>
        <w:t>весенний период:</w:t>
      </w:r>
    </w:p>
    <w:p w14:paraId="5B9932B7" w14:textId="77777777" w:rsidR="00B75AC9" w:rsidRDefault="00B75AC9" w:rsidP="00B75AC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Напоминаю </w:t>
      </w:r>
      <w:r w:rsidRPr="00611901">
        <w:rPr>
          <w:rFonts w:ascii="Times New Roman" w:hAnsi="Times New Roman"/>
          <w:sz w:val="24"/>
          <w:szCs w:val="24"/>
        </w:rPr>
        <w:t>СНиП 41-02-2003 «Тепловые сети»</w:t>
      </w:r>
      <w:r>
        <w:rPr>
          <w:rFonts w:ascii="Times New Roman" w:hAnsi="Times New Roman"/>
          <w:sz w:val="24"/>
          <w:szCs w:val="24"/>
        </w:rPr>
        <w:t xml:space="preserve"> п. </w:t>
      </w:r>
      <w:r>
        <w:rPr>
          <w:rFonts w:ascii="Times New Roman" w:hAnsi="Times New Roman"/>
          <w:b/>
          <w:bCs/>
          <w:szCs w:val="18"/>
        </w:rPr>
        <w:t>7</w:t>
      </w:r>
      <w:r w:rsidRPr="003C01A2">
        <w:rPr>
          <w:rFonts w:ascii="Times New Roman" w:hAnsi="Times New Roman"/>
          <w:sz w:val="24"/>
          <w:szCs w:val="24"/>
        </w:rPr>
        <w:t>.6</w:t>
      </w:r>
      <w:r>
        <w:rPr>
          <w:rFonts w:ascii="Times New Roman" w:hAnsi="Times New Roman"/>
          <w:sz w:val="24"/>
          <w:szCs w:val="24"/>
        </w:rPr>
        <w:t>:</w:t>
      </w:r>
    </w:p>
    <w:p w14:paraId="1F3B7D49" w14:textId="77777777" w:rsidR="00B75AC9" w:rsidRPr="003C01A2" w:rsidRDefault="00B75AC9" w:rsidP="00B75AC9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01A2">
        <w:rPr>
          <w:rFonts w:ascii="Times New Roman" w:hAnsi="Times New Roman"/>
          <w:i/>
          <w:sz w:val="24"/>
          <w:szCs w:val="24"/>
        </w:rPr>
        <w:lastRenderedPageBreak/>
        <w:t>При центральном качественно-количественном регулировании отпуска теплоты для подогрева воды в системах горячего водоснабжения потребителей температура воды в подающем трубопроводе должна быть:</w:t>
      </w:r>
    </w:p>
    <w:p w14:paraId="48421516" w14:textId="77777777" w:rsidR="00B75AC9" w:rsidRPr="00B75AC9" w:rsidRDefault="00B75AC9" w:rsidP="00B75AC9">
      <w:pPr>
        <w:spacing w:after="0" w:line="36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75AC9">
        <w:rPr>
          <w:rFonts w:ascii="Times New Roman" w:hAnsi="Times New Roman"/>
          <w:b/>
          <w:i/>
          <w:sz w:val="24"/>
          <w:szCs w:val="24"/>
        </w:rPr>
        <w:t>для закрытых систем теплоснабжения — не менее 70 °С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E934F8">
        <w:rPr>
          <w:rFonts w:ascii="Times New Roman" w:hAnsi="Times New Roman"/>
          <w:b/>
          <w:i/>
          <w:sz w:val="24"/>
          <w:szCs w:val="24"/>
        </w:rPr>
        <w:t xml:space="preserve">то есть,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перетопы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ещё выше!)</w:t>
      </w:r>
      <w:r w:rsidRPr="00B75AC9">
        <w:rPr>
          <w:rFonts w:ascii="Times New Roman" w:hAnsi="Times New Roman"/>
          <w:b/>
          <w:i/>
          <w:sz w:val="24"/>
          <w:szCs w:val="24"/>
        </w:rPr>
        <w:t>;</w:t>
      </w:r>
    </w:p>
    <w:p w14:paraId="2A2FD658" w14:textId="77777777" w:rsidR="00B75AC9" w:rsidRPr="003C01A2" w:rsidRDefault="00B75AC9" w:rsidP="00B75AC9">
      <w:pPr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3C01A2">
        <w:rPr>
          <w:rFonts w:ascii="Times New Roman" w:hAnsi="Times New Roman"/>
          <w:i/>
          <w:sz w:val="24"/>
          <w:szCs w:val="24"/>
        </w:rPr>
        <w:t>для открытых систем теплоснабжения — не менее 60 °С.</w:t>
      </w:r>
    </w:p>
    <w:p w14:paraId="083EB049" w14:textId="77777777" w:rsidR="00B75AC9" w:rsidRDefault="00C1739B" w:rsidP="00C3117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</w:t>
      </w:r>
      <w:r w:rsidRPr="00FB7296">
        <w:rPr>
          <w:rFonts w:ascii="Times New Roman" w:hAnsi="Times New Roman"/>
          <w:b/>
          <w:sz w:val="24"/>
          <w:szCs w:val="24"/>
        </w:rPr>
        <w:t>ЧТО ЖЕ ЭТО БЫЛО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67FD8A7A" w14:textId="77777777" w:rsidR="00BA71D0" w:rsidRDefault="00BA71D0" w:rsidP="00506C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Неужели основн</w:t>
      </w:r>
      <w:r w:rsidR="007718BC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цель</w:t>
      </w:r>
      <w:r w:rsidR="00E934F8">
        <w:rPr>
          <w:rFonts w:ascii="Times New Roman" w:hAnsi="Times New Roman"/>
          <w:sz w:val="24"/>
          <w:szCs w:val="24"/>
        </w:rPr>
        <w:t xml:space="preserve"> </w:t>
      </w:r>
      <w:r w:rsidR="001C330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именно стагнация развития систем централизованного теплоснабжения с открытым водоразбором с переходом потребителей на «иные» источники теплоты, а также увеличенные осеннее</w:t>
      </w:r>
      <w:r w:rsidR="001C330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весенние </w:t>
      </w:r>
      <w:proofErr w:type="spellStart"/>
      <w:r>
        <w:rPr>
          <w:rFonts w:ascii="Times New Roman" w:hAnsi="Times New Roman"/>
          <w:sz w:val="24"/>
          <w:szCs w:val="24"/>
        </w:rPr>
        <w:t>перетопы</w:t>
      </w:r>
      <w:proofErr w:type="spellEnd"/>
      <w:r>
        <w:rPr>
          <w:rFonts w:ascii="Times New Roman" w:hAnsi="Times New Roman"/>
          <w:sz w:val="24"/>
          <w:szCs w:val="24"/>
        </w:rPr>
        <w:t xml:space="preserve"> потребителей из-за подключения потребителей с закрытой схемой по ГВС к системе теплоснабжения с открытом водоразбором?</w:t>
      </w:r>
    </w:p>
    <w:sectPr w:rsidR="00BA71D0" w:rsidSect="004B22A3">
      <w:footerReference w:type="default" r:id="rId18"/>
      <w:pgSz w:w="11906" w:h="16838"/>
      <w:pgMar w:top="1134" w:right="567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C2DB" w14:textId="77777777" w:rsidR="004121E7" w:rsidRDefault="004121E7" w:rsidP="00171FD9">
      <w:pPr>
        <w:spacing w:after="0" w:line="240" w:lineRule="auto"/>
      </w:pPr>
      <w:r>
        <w:separator/>
      </w:r>
    </w:p>
  </w:endnote>
  <w:endnote w:type="continuationSeparator" w:id="0">
    <w:p w14:paraId="2B8B9621" w14:textId="77777777" w:rsidR="004121E7" w:rsidRDefault="004121E7" w:rsidP="001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5096"/>
      <w:docPartObj>
        <w:docPartGallery w:val="Page Numbers (Bottom of Page)"/>
        <w:docPartUnique/>
      </w:docPartObj>
    </w:sdtPr>
    <w:sdtContent>
      <w:p w14:paraId="52E405BA" w14:textId="77777777" w:rsidR="000C762D" w:rsidRDefault="007F4ED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C3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0BC882A" w14:textId="77777777" w:rsidR="000C762D" w:rsidRDefault="000C76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2B79" w14:textId="77777777" w:rsidR="004121E7" w:rsidRDefault="004121E7" w:rsidP="00171FD9">
      <w:pPr>
        <w:spacing w:after="0" w:line="240" w:lineRule="auto"/>
      </w:pPr>
      <w:r>
        <w:separator/>
      </w:r>
    </w:p>
  </w:footnote>
  <w:footnote w:type="continuationSeparator" w:id="0">
    <w:p w14:paraId="68E2D65A" w14:textId="77777777" w:rsidR="004121E7" w:rsidRDefault="004121E7" w:rsidP="0017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E4"/>
    <w:multiLevelType w:val="hybridMultilevel"/>
    <w:tmpl w:val="E4703818"/>
    <w:lvl w:ilvl="0" w:tplc="501A5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CE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67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87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403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B4D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EB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6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20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201D12"/>
    <w:multiLevelType w:val="hybridMultilevel"/>
    <w:tmpl w:val="E50A71F2"/>
    <w:lvl w:ilvl="0" w:tplc="AC944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6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84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EAC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6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6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A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28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26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C753C90"/>
    <w:multiLevelType w:val="hybridMultilevel"/>
    <w:tmpl w:val="4920CB3A"/>
    <w:lvl w:ilvl="0" w:tplc="1930A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C3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05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42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E5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E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F21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1F31B5"/>
    <w:multiLevelType w:val="hybridMultilevel"/>
    <w:tmpl w:val="37763526"/>
    <w:lvl w:ilvl="0" w:tplc="63F08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69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CB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6F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D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2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EC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247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A4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1B6FD2"/>
    <w:multiLevelType w:val="hybridMultilevel"/>
    <w:tmpl w:val="1068C95A"/>
    <w:lvl w:ilvl="0" w:tplc="2FA2E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F04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CA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0C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5A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A4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C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96F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0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0E07FD"/>
    <w:multiLevelType w:val="hybridMultilevel"/>
    <w:tmpl w:val="667AD856"/>
    <w:lvl w:ilvl="0" w:tplc="FFEA4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87F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926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C6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429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23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A0EC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42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483C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D92338"/>
    <w:multiLevelType w:val="hybridMultilevel"/>
    <w:tmpl w:val="A0F42914"/>
    <w:lvl w:ilvl="0" w:tplc="4C386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02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A2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80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6E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C3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2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AF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BEB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F14DDB"/>
    <w:multiLevelType w:val="hybridMultilevel"/>
    <w:tmpl w:val="07A6C782"/>
    <w:lvl w:ilvl="0" w:tplc="43D23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8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C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E6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32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C1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47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C09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6909AF"/>
    <w:multiLevelType w:val="hybridMultilevel"/>
    <w:tmpl w:val="4B2C6CBC"/>
    <w:lvl w:ilvl="0" w:tplc="CB8A1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46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FC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E0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80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C9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85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E48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81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383E5C"/>
    <w:multiLevelType w:val="hybridMultilevel"/>
    <w:tmpl w:val="3D3EDB80"/>
    <w:lvl w:ilvl="0" w:tplc="40EAD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E9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C7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4EB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22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6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085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2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B3542B"/>
    <w:multiLevelType w:val="hybridMultilevel"/>
    <w:tmpl w:val="635083B4"/>
    <w:lvl w:ilvl="0" w:tplc="F03AA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A6B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E0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8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9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C1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CB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AE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4744524">
    <w:abstractNumId w:val="9"/>
  </w:num>
  <w:num w:numId="2" w16cid:durableId="1584413479">
    <w:abstractNumId w:val="3"/>
  </w:num>
  <w:num w:numId="3" w16cid:durableId="184447862">
    <w:abstractNumId w:val="5"/>
  </w:num>
  <w:num w:numId="4" w16cid:durableId="914751523">
    <w:abstractNumId w:val="6"/>
  </w:num>
  <w:num w:numId="5" w16cid:durableId="1077484236">
    <w:abstractNumId w:val="4"/>
  </w:num>
  <w:num w:numId="6" w16cid:durableId="2059476739">
    <w:abstractNumId w:val="1"/>
  </w:num>
  <w:num w:numId="7" w16cid:durableId="603922176">
    <w:abstractNumId w:val="8"/>
  </w:num>
  <w:num w:numId="8" w16cid:durableId="886257885">
    <w:abstractNumId w:val="7"/>
  </w:num>
  <w:num w:numId="9" w16cid:durableId="974260898">
    <w:abstractNumId w:val="2"/>
  </w:num>
  <w:num w:numId="10" w16cid:durableId="486827228">
    <w:abstractNumId w:val="10"/>
  </w:num>
  <w:num w:numId="11" w16cid:durableId="187237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8B"/>
    <w:rsid w:val="00041002"/>
    <w:rsid w:val="00044FF6"/>
    <w:rsid w:val="00051D79"/>
    <w:rsid w:val="00052A55"/>
    <w:rsid w:val="00064770"/>
    <w:rsid w:val="00066D27"/>
    <w:rsid w:val="00066D5A"/>
    <w:rsid w:val="0007000D"/>
    <w:rsid w:val="00073F73"/>
    <w:rsid w:val="000769B3"/>
    <w:rsid w:val="000827D2"/>
    <w:rsid w:val="000B167B"/>
    <w:rsid w:val="000B6A43"/>
    <w:rsid w:val="000C762D"/>
    <w:rsid w:val="000D09B5"/>
    <w:rsid w:val="000D33C1"/>
    <w:rsid w:val="000E0173"/>
    <w:rsid w:val="00113766"/>
    <w:rsid w:val="001422D5"/>
    <w:rsid w:val="00146F40"/>
    <w:rsid w:val="001539DB"/>
    <w:rsid w:val="00154BE6"/>
    <w:rsid w:val="0015570C"/>
    <w:rsid w:val="00171FD9"/>
    <w:rsid w:val="00174EA3"/>
    <w:rsid w:val="00190F1A"/>
    <w:rsid w:val="001A16A0"/>
    <w:rsid w:val="001A5DC5"/>
    <w:rsid w:val="001B551E"/>
    <w:rsid w:val="001C3303"/>
    <w:rsid w:val="001C51AF"/>
    <w:rsid w:val="001E5BF4"/>
    <w:rsid w:val="001F15F3"/>
    <w:rsid w:val="001F5B58"/>
    <w:rsid w:val="00204CF2"/>
    <w:rsid w:val="00211A0A"/>
    <w:rsid w:val="0023469B"/>
    <w:rsid w:val="0024737D"/>
    <w:rsid w:val="002520DD"/>
    <w:rsid w:val="00260474"/>
    <w:rsid w:val="00275948"/>
    <w:rsid w:val="00276353"/>
    <w:rsid w:val="00294A8E"/>
    <w:rsid w:val="002B4364"/>
    <w:rsid w:val="002E5CB4"/>
    <w:rsid w:val="002E7A21"/>
    <w:rsid w:val="002F04C4"/>
    <w:rsid w:val="002F209D"/>
    <w:rsid w:val="002F40EF"/>
    <w:rsid w:val="00301510"/>
    <w:rsid w:val="00311F20"/>
    <w:rsid w:val="00341A89"/>
    <w:rsid w:val="003455EB"/>
    <w:rsid w:val="003502A4"/>
    <w:rsid w:val="00357106"/>
    <w:rsid w:val="003A37C9"/>
    <w:rsid w:val="003C01A2"/>
    <w:rsid w:val="003C47B4"/>
    <w:rsid w:val="003C6D82"/>
    <w:rsid w:val="003F501C"/>
    <w:rsid w:val="00404A92"/>
    <w:rsid w:val="004121E7"/>
    <w:rsid w:val="00416EBF"/>
    <w:rsid w:val="0041797F"/>
    <w:rsid w:val="00420AC1"/>
    <w:rsid w:val="004369EA"/>
    <w:rsid w:val="004709FC"/>
    <w:rsid w:val="004719AC"/>
    <w:rsid w:val="00484014"/>
    <w:rsid w:val="004876BC"/>
    <w:rsid w:val="004965DF"/>
    <w:rsid w:val="004B22A3"/>
    <w:rsid w:val="004B497A"/>
    <w:rsid w:val="004B6B8D"/>
    <w:rsid w:val="004C0459"/>
    <w:rsid w:val="004D407C"/>
    <w:rsid w:val="004E3E7A"/>
    <w:rsid w:val="004E4346"/>
    <w:rsid w:val="004F51E1"/>
    <w:rsid w:val="004F529E"/>
    <w:rsid w:val="005061E7"/>
    <w:rsid w:val="00506C04"/>
    <w:rsid w:val="005104F9"/>
    <w:rsid w:val="005120E8"/>
    <w:rsid w:val="00517C68"/>
    <w:rsid w:val="005203A2"/>
    <w:rsid w:val="00525CEF"/>
    <w:rsid w:val="00537043"/>
    <w:rsid w:val="0055157C"/>
    <w:rsid w:val="00552EDB"/>
    <w:rsid w:val="00560618"/>
    <w:rsid w:val="005608A3"/>
    <w:rsid w:val="00593426"/>
    <w:rsid w:val="00593CB9"/>
    <w:rsid w:val="00597520"/>
    <w:rsid w:val="005A1C5C"/>
    <w:rsid w:val="005A5709"/>
    <w:rsid w:val="005B1769"/>
    <w:rsid w:val="005D2D0B"/>
    <w:rsid w:val="005D2E07"/>
    <w:rsid w:val="005E2224"/>
    <w:rsid w:val="005F0304"/>
    <w:rsid w:val="0060189C"/>
    <w:rsid w:val="0060584B"/>
    <w:rsid w:val="0060586E"/>
    <w:rsid w:val="00611901"/>
    <w:rsid w:val="0062573F"/>
    <w:rsid w:val="00630B10"/>
    <w:rsid w:val="006361D3"/>
    <w:rsid w:val="00657BD1"/>
    <w:rsid w:val="00661BDA"/>
    <w:rsid w:val="006941FA"/>
    <w:rsid w:val="006C5395"/>
    <w:rsid w:val="006D276D"/>
    <w:rsid w:val="00711EB5"/>
    <w:rsid w:val="00713690"/>
    <w:rsid w:val="00730200"/>
    <w:rsid w:val="00756BEB"/>
    <w:rsid w:val="00767F4E"/>
    <w:rsid w:val="007718BC"/>
    <w:rsid w:val="00791E81"/>
    <w:rsid w:val="007979C2"/>
    <w:rsid w:val="007A1963"/>
    <w:rsid w:val="007C245F"/>
    <w:rsid w:val="007C4C2C"/>
    <w:rsid w:val="007C62D6"/>
    <w:rsid w:val="007C6847"/>
    <w:rsid w:val="007D08EB"/>
    <w:rsid w:val="007D6CC8"/>
    <w:rsid w:val="007E0E11"/>
    <w:rsid w:val="007F0FA8"/>
    <w:rsid w:val="007F4ED8"/>
    <w:rsid w:val="00807C4E"/>
    <w:rsid w:val="0081165E"/>
    <w:rsid w:val="00822F0D"/>
    <w:rsid w:val="0084073C"/>
    <w:rsid w:val="00841765"/>
    <w:rsid w:val="00846F65"/>
    <w:rsid w:val="00854347"/>
    <w:rsid w:val="00874B49"/>
    <w:rsid w:val="00876D37"/>
    <w:rsid w:val="0088092F"/>
    <w:rsid w:val="008B0CFF"/>
    <w:rsid w:val="008C3797"/>
    <w:rsid w:val="008D0B10"/>
    <w:rsid w:val="008E2B0D"/>
    <w:rsid w:val="008F6B31"/>
    <w:rsid w:val="00905A19"/>
    <w:rsid w:val="009201FA"/>
    <w:rsid w:val="00921AE4"/>
    <w:rsid w:val="009232F4"/>
    <w:rsid w:val="00933A7B"/>
    <w:rsid w:val="00965659"/>
    <w:rsid w:val="009757DA"/>
    <w:rsid w:val="009854A9"/>
    <w:rsid w:val="009A1ED8"/>
    <w:rsid w:val="009A5DAC"/>
    <w:rsid w:val="009B4C36"/>
    <w:rsid w:val="009D07D2"/>
    <w:rsid w:val="009D0D2F"/>
    <w:rsid w:val="009D73B2"/>
    <w:rsid w:val="009E061A"/>
    <w:rsid w:val="009E1CFD"/>
    <w:rsid w:val="009E2349"/>
    <w:rsid w:val="009E3E99"/>
    <w:rsid w:val="00A23F3D"/>
    <w:rsid w:val="00A332DD"/>
    <w:rsid w:val="00A523BB"/>
    <w:rsid w:val="00A60F5A"/>
    <w:rsid w:val="00A80E49"/>
    <w:rsid w:val="00AB226F"/>
    <w:rsid w:val="00AD193C"/>
    <w:rsid w:val="00AD7C6B"/>
    <w:rsid w:val="00AE24B9"/>
    <w:rsid w:val="00B020C6"/>
    <w:rsid w:val="00B16163"/>
    <w:rsid w:val="00B1635D"/>
    <w:rsid w:val="00B3351A"/>
    <w:rsid w:val="00B43277"/>
    <w:rsid w:val="00B50719"/>
    <w:rsid w:val="00B64DB7"/>
    <w:rsid w:val="00B67A47"/>
    <w:rsid w:val="00B75AC9"/>
    <w:rsid w:val="00B80FB8"/>
    <w:rsid w:val="00B90901"/>
    <w:rsid w:val="00BA71D0"/>
    <w:rsid w:val="00BC7AE8"/>
    <w:rsid w:val="00BD4B0D"/>
    <w:rsid w:val="00BE79C0"/>
    <w:rsid w:val="00BF13C8"/>
    <w:rsid w:val="00BF338B"/>
    <w:rsid w:val="00BF613D"/>
    <w:rsid w:val="00C00A59"/>
    <w:rsid w:val="00C1739B"/>
    <w:rsid w:val="00C3117F"/>
    <w:rsid w:val="00C311DC"/>
    <w:rsid w:val="00C33128"/>
    <w:rsid w:val="00C37F6D"/>
    <w:rsid w:val="00C407A7"/>
    <w:rsid w:val="00C40E6A"/>
    <w:rsid w:val="00C43C4E"/>
    <w:rsid w:val="00C83F0F"/>
    <w:rsid w:val="00CA3618"/>
    <w:rsid w:val="00CA3DD4"/>
    <w:rsid w:val="00CA40F1"/>
    <w:rsid w:val="00CA4A1C"/>
    <w:rsid w:val="00CA516F"/>
    <w:rsid w:val="00CB3689"/>
    <w:rsid w:val="00CB4842"/>
    <w:rsid w:val="00CC7FD7"/>
    <w:rsid w:val="00CF3051"/>
    <w:rsid w:val="00CF465F"/>
    <w:rsid w:val="00D171FB"/>
    <w:rsid w:val="00D223A3"/>
    <w:rsid w:val="00D30CD4"/>
    <w:rsid w:val="00D37C3C"/>
    <w:rsid w:val="00D44FE1"/>
    <w:rsid w:val="00D6064E"/>
    <w:rsid w:val="00D7299C"/>
    <w:rsid w:val="00D74DB1"/>
    <w:rsid w:val="00D77D1A"/>
    <w:rsid w:val="00D80716"/>
    <w:rsid w:val="00D92AA0"/>
    <w:rsid w:val="00D952F8"/>
    <w:rsid w:val="00DA6896"/>
    <w:rsid w:val="00DB1B34"/>
    <w:rsid w:val="00DB4EA4"/>
    <w:rsid w:val="00DC1725"/>
    <w:rsid w:val="00DC2C42"/>
    <w:rsid w:val="00DD5727"/>
    <w:rsid w:val="00DE2A2B"/>
    <w:rsid w:val="00E14DA4"/>
    <w:rsid w:val="00E2498B"/>
    <w:rsid w:val="00E80ED6"/>
    <w:rsid w:val="00E82F18"/>
    <w:rsid w:val="00E934F8"/>
    <w:rsid w:val="00EA61DC"/>
    <w:rsid w:val="00EC0F15"/>
    <w:rsid w:val="00EC19B0"/>
    <w:rsid w:val="00EC64FB"/>
    <w:rsid w:val="00ED737A"/>
    <w:rsid w:val="00EE4C9D"/>
    <w:rsid w:val="00F02745"/>
    <w:rsid w:val="00F06084"/>
    <w:rsid w:val="00F0694B"/>
    <w:rsid w:val="00F119A9"/>
    <w:rsid w:val="00F2676A"/>
    <w:rsid w:val="00F30A34"/>
    <w:rsid w:val="00F9453A"/>
    <w:rsid w:val="00FB0A0B"/>
    <w:rsid w:val="00FB29CF"/>
    <w:rsid w:val="00FB7296"/>
    <w:rsid w:val="00FC2692"/>
    <w:rsid w:val="00FD5DD0"/>
    <w:rsid w:val="00FE3A41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63C4"/>
  <w15:docId w15:val="{0D46EAC0-3504-4A27-AC4A-E98A448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F03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1">
    <w:name w:val="FR1"/>
    <w:rsid w:val="00EC64FB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5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3B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1FD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17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1FD9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07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CA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C3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3117F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3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ownloads\&#1043;&#1088;&#1072;&#1092;&#1080;&#1082;&#1080;%20&#1062;&#1058;&#1055;-12,%20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Фактические и нормативные значения водородного показателя рН</a:t>
            </a:r>
            <a:r>
              <a:rPr lang="ru-RU" sz="1100" baseline="-25000"/>
              <a:t>25</a:t>
            </a:r>
            <a:r>
              <a:rPr lang="ru-RU" sz="1100"/>
              <a:t> воды СЦГВ </a:t>
            </a:r>
          </a:p>
        </c:rich>
      </c:tx>
      <c:layout>
        <c:manualLayout>
          <c:xMode val="edge"/>
          <c:yMode val="edge"/>
          <c:x val="0.12590023363923247"/>
          <c:y val="1.66500712216629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Водородный показатель рН25</c:v>
          </c:tx>
          <c:cat>
            <c:strRef>
              <c:f>Лист1!$B$11:$B$122</c:f>
              <c:strCache>
                <c:ptCount val="109"/>
                <c:pt idx="0">
                  <c:v>апр. 2018</c:v>
                </c:pt>
                <c:pt idx="4">
                  <c:v>май 2018</c:v>
                </c:pt>
                <c:pt idx="8">
                  <c:v>июнь 2018</c:v>
                </c:pt>
                <c:pt idx="12">
                  <c:v>июль 2018</c:v>
                </c:pt>
                <c:pt idx="16">
                  <c:v>авг. 2018</c:v>
                </c:pt>
                <c:pt idx="20">
                  <c:v>сент. 2018</c:v>
                </c:pt>
                <c:pt idx="24">
                  <c:v>окт. 2018</c:v>
                </c:pt>
                <c:pt idx="28">
                  <c:v>нояб. 2018</c:v>
                </c:pt>
                <c:pt idx="32">
                  <c:v>дек. 2018</c:v>
                </c:pt>
                <c:pt idx="36">
                  <c:v>февр. 2019</c:v>
                </c:pt>
                <c:pt idx="40">
                  <c:v>март 2019</c:v>
                </c:pt>
                <c:pt idx="44">
                  <c:v>апр. 2019</c:v>
                </c:pt>
                <c:pt idx="48">
                  <c:v>май. 2019</c:v>
                </c:pt>
                <c:pt idx="52">
                  <c:v>июнь. 2019</c:v>
                </c:pt>
                <c:pt idx="56">
                  <c:v>июль. 2019</c:v>
                </c:pt>
                <c:pt idx="60">
                  <c:v>авг. 2019</c:v>
                </c:pt>
                <c:pt idx="64">
                  <c:v>сент. 2019</c:v>
                </c:pt>
                <c:pt idx="68">
                  <c:v>окт. 2019</c:v>
                </c:pt>
                <c:pt idx="72">
                  <c:v>нояб. 2019</c:v>
                </c:pt>
                <c:pt idx="76">
                  <c:v>дек. 2019</c:v>
                </c:pt>
                <c:pt idx="80">
                  <c:v>янв. 2020</c:v>
                </c:pt>
                <c:pt idx="84">
                  <c:v>февр. 2020</c:v>
                </c:pt>
                <c:pt idx="88">
                  <c:v>март. 2020</c:v>
                </c:pt>
                <c:pt idx="92">
                  <c:v>май 2020</c:v>
                </c:pt>
                <c:pt idx="96">
                  <c:v>июнь 2020</c:v>
                </c:pt>
                <c:pt idx="100">
                  <c:v>июль 2020</c:v>
                </c:pt>
                <c:pt idx="104">
                  <c:v>авг. 2020</c:v>
                </c:pt>
                <c:pt idx="108">
                  <c:v>сент. 2020</c:v>
                </c:pt>
              </c:strCache>
            </c:strRef>
          </c:cat>
          <c:val>
            <c:numRef>
              <c:f>(Лист1!$G$11:$G$18,Лист1!$G$23:$G$62,Лист1!$G$67:$G$97,Лист1!$G$98:$G$122)</c:f>
              <c:numCache>
                <c:formatCode>0.00</c:formatCode>
                <c:ptCount val="104"/>
                <c:pt idx="0">
                  <c:v>8.01</c:v>
                </c:pt>
                <c:pt idx="1">
                  <c:v>8.0500000000000007</c:v>
                </c:pt>
                <c:pt idx="2">
                  <c:v>7.98</c:v>
                </c:pt>
                <c:pt idx="3">
                  <c:v>7.95</c:v>
                </c:pt>
                <c:pt idx="4">
                  <c:v>7.4</c:v>
                </c:pt>
                <c:pt idx="5">
                  <c:v>8.4</c:v>
                </c:pt>
                <c:pt idx="6">
                  <c:v>7.34</c:v>
                </c:pt>
                <c:pt idx="7">
                  <c:v>8.33</c:v>
                </c:pt>
                <c:pt idx="8">
                  <c:v>7.67</c:v>
                </c:pt>
                <c:pt idx="9">
                  <c:v>8.42</c:v>
                </c:pt>
                <c:pt idx="10">
                  <c:v>7.74</c:v>
                </c:pt>
                <c:pt idx="11">
                  <c:v>8.41</c:v>
                </c:pt>
                <c:pt idx="12">
                  <c:v>7.35</c:v>
                </c:pt>
                <c:pt idx="13">
                  <c:v>8.2800000000000011</c:v>
                </c:pt>
                <c:pt idx="14">
                  <c:v>7.57</c:v>
                </c:pt>
                <c:pt idx="15">
                  <c:v>8.15</c:v>
                </c:pt>
                <c:pt idx="16">
                  <c:v>7.34</c:v>
                </c:pt>
                <c:pt idx="17">
                  <c:v>8.4500000000000028</c:v>
                </c:pt>
                <c:pt idx="18">
                  <c:v>7.41</c:v>
                </c:pt>
                <c:pt idx="19">
                  <c:v>8.43</c:v>
                </c:pt>
                <c:pt idx="20">
                  <c:v>7.5</c:v>
                </c:pt>
                <c:pt idx="21">
                  <c:v>8.4700000000000006</c:v>
                </c:pt>
                <c:pt idx="22">
                  <c:v>7.74</c:v>
                </c:pt>
                <c:pt idx="23">
                  <c:v>8.41</c:v>
                </c:pt>
                <c:pt idx="24">
                  <c:v>7.63</c:v>
                </c:pt>
                <c:pt idx="25">
                  <c:v>8.32</c:v>
                </c:pt>
                <c:pt idx="26">
                  <c:v>8.17</c:v>
                </c:pt>
                <c:pt idx="27">
                  <c:v>8.31</c:v>
                </c:pt>
                <c:pt idx="28">
                  <c:v>8.07</c:v>
                </c:pt>
                <c:pt idx="29">
                  <c:v>8.42</c:v>
                </c:pt>
                <c:pt idx="30">
                  <c:v>8.120000000000001</c:v>
                </c:pt>
                <c:pt idx="31">
                  <c:v>8.09</c:v>
                </c:pt>
                <c:pt idx="32">
                  <c:v>7.6</c:v>
                </c:pt>
                <c:pt idx="33">
                  <c:v>8.4600000000000026</c:v>
                </c:pt>
                <c:pt idx="34">
                  <c:v>7.6499999999999995</c:v>
                </c:pt>
                <c:pt idx="35">
                  <c:v>7.7</c:v>
                </c:pt>
                <c:pt idx="36">
                  <c:v>7.64</c:v>
                </c:pt>
                <c:pt idx="37">
                  <c:v>8.2299999999999986</c:v>
                </c:pt>
                <c:pt idx="38">
                  <c:v>7.6</c:v>
                </c:pt>
                <c:pt idx="39">
                  <c:v>8.3000000000000007</c:v>
                </c:pt>
                <c:pt idx="40">
                  <c:v>7.63</c:v>
                </c:pt>
                <c:pt idx="41">
                  <c:v>8.3500000000000068</c:v>
                </c:pt>
                <c:pt idx="42">
                  <c:v>7.58</c:v>
                </c:pt>
                <c:pt idx="43">
                  <c:v>8.41</c:v>
                </c:pt>
                <c:pt idx="44">
                  <c:v>7.8599999999999985</c:v>
                </c:pt>
                <c:pt idx="45">
                  <c:v>8.2800000000000011</c:v>
                </c:pt>
                <c:pt idx="46">
                  <c:v>8.07</c:v>
                </c:pt>
                <c:pt idx="47">
                  <c:v>8.26</c:v>
                </c:pt>
                <c:pt idx="48">
                  <c:v>7.9</c:v>
                </c:pt>
                <c:pt idx="49">
                  <c:v>8.4500000000000028</c:v>
                </c:pt>
                <c:pt idx="50">
                  <c:v>8.02</c:v>
                </c:pt>
                <c:pt idx="51">
                  <c:v>8.49</c:v>
                </c:pt>
                <c:pt idx="52">
                  <c:v>7.72</c:v>
                </c:pt>
                <c:pt idx="53">
                  <c:v>8.08</c:v>
                </c:pt>
                <c:pt idx="54">
                  <c:v>7.81</c:v>
                </c:pt>
                <c:pt idx="55">
                  <c:v>8.16</c:v>
                </c:pt>
                <c:pt idx="56">
                  <c:v>7.53</c:v>
                </c:pt>
                <c:pt idx="57">
                  <c:v>8.06</c:v>
                </c:pt>
                <c:pt idx="58">
                  <c:v>7.6099999999999985</c:v>
                </c:pt>
                <c:pt idx="59">
                  <c:v>8.17</c:v>
                </c:pt>
                <c:pt idx="60">
                  <c:v>7.8199999999999985</c:v>
                </c:pt>
                <c:pt idx="61">
                  <c:v>8.4500000000000028</c:v>
                </c:pt>
                <c:pt idx="62">
                  <c:v>8.06</c:v>
                </c:pt>
                <c:pt idx="63">
                  <c:v>8.51</c:v>
                </c:pt>
                <c:pt idx="64">
                  <c:v>7.6499999999999995</c:v>
                </c:pt>
                <c:pt idx="65">
                  <c:v>8.27</c:v>
                </c:pt>
                <c:pt idx="66">
                  <c:v>7.74</c:v>
                </c:pt>
                <c:pt idx="67">
                  <c:v>8.2399999999999984</c:v>
                </c:pt>
                <c:pt idx="68">
                  <c:v>7.6199999999999966</c:v>
                </c:pt>
                <c:pt idx="69">
                  <c:v>8.09</c:v>
                </c:pt>
                <c:pt idx="70">
                  <c:v>7.72</c:v>
                </c:pt>
                <c:pt idx="71">
                  <c:v>8.2399999999999984</c:v>
                </c:pt>
                <c:pt idx="72">
                  <c:v>7.58</c:v>
                </c:pt>
                <c:pt idx="73">
                  <c:v>8.31</c:v>
                </c:pt>
                <c:pt idx="74">
                  <c:v>7.74</c:v>
                </c:pt>
                <c:pt idx="75">
                  <c:v>8.3500000000000068</c:v>
                </c:pt>
                <c:pt idx="76">
                  <c:v>7.31</c:v>
                </c:pt>
                <c:pt idx="77">
                  <c:v>8.1</c:v>
                </c:pt>
                <c:pt idx="78">
                  <c:v>7.4300000000000024</c:v>
                </c:pt>
                <c:pt idx="79">
                  <c:v>8.02</c:v>
                </c:pt>
                <c:pt idx="80">
                  <c:v>7.46</c:v>
                </c:pt>
                <c:pt idx="81">
                  <c:v>8.120000000000001</c:v>
                </c:pt>
                <c:pt idx="82">
                  <c:v>7.59</c:v>
                </c:pt>
                <c:pt idx="83">
                  <c:v>8.16</c:v>
                </c:pt>
                <c:pt idx="84">
                  <c:v>7.38</c:v>
                </c:pt>
                <c:pt idx="85">
                  <c:v>7.56</c:v>
                </c:pt>
                <c:pt idx="86">
                  <c:v>7.48</c:v>
                </c:pt>
                <c:pt idx="87">
                  <c:v>7.46</c:v>
                </c:pt>
                <c:pt idx="88">
                  <c:v>7.6099999999999985</c:v>
                </c:pt>
                <c:pt idx="89">
                  <c:v>7.78</c:v>
                </c:pt>
                <c:pt idx="90">
                  <c:v>7.45</c:v>
                </c:pt>
                <c:pt idx="91">
                  <c:v>7.79</c:v>
                </c:pt>
                <c:pt idx="92" formatCode="General">
                  <c:v>7.26</c:v>
                </c:pt>
                <c:pt idx="93" formatCode="General">
                  <c:v>7.6899999999999995</c:v>
                </c:pt>
                <c:pt idx="94" formatCode="General">
                  <c:v>7.03</c:v>
                </c:pt>
                <c:pt idx="95" formatCode="General">
                  <c:v>7.56</c:v>
                </c:pt>
                <c:pt idx="96">
                  <c:v>7.3199999999999985</c:v>
                </c:pt>
                <c:pt idx="97">
                  <c:v>7.68</c:v>
                </c:pt>
                <c:pt idx="98" formatCode="General">
                  <c:v>7.54</c:v>
                </c:pt>
                <c:pt idx="99" formatCode="General">
                  <c:v>7.6099999999999985</c:v>
                </c:pt>
                <c:pt idx="100" formatCode="General">
                  <c:v>7.91</c:v>
                </c:pt>
                <c:pt idx="101" formatCode="General">
                  <c:v>7.44</c:v>
                </c:pt>
                <c:pt idx="102" formatCode="General">
                  <c:v>7.6</c:v>
                </c:pt>
                <c:pt idx="103" formatCode="General">
                  <c:v>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4E-4EF4-871C-A6A34D05165D}"/>
            </c:ext>
          </c:extLst>
        </c:ser>
        <c:ser>
          <c:idx val="1"/>
          <c:order val="1"/>
          <c:tx>
            <c:v>Минимальное значение рН для ОТС и ЗТС (СП 12.133330.2012)</c:v>
          </c:tx>
          <c:spPr>
            <a:ln w="31750">
              <a:solidFill>
                <a:srgbClr val="FF0000"/>
              </a:solidFill>
              <a:prstDash val="lgDash"/>
            </a:ln>
          </c:spPr>
          <c:marker>
            <c:symbol val="none"/>
          </c:marker>
          <c:cat>
            <c:strRef>
              <c:f>Лист1!$B$11:$B$122</c:f>
              <c:strCache>
                <c:ptCount val="109"/>
                <c:pt idx="0">
                  <c:v>апр. 2018</c:v>
                </c:pt>
                <c:pt idx="4">
                  <c:v>май 2018</c:v>
                </c:pt>
                <c:pt idx="8">
                  <c:v>июнь 2018</c:v>
                </c:pt>
                <c:pt idx="12">
                  <c:v>июль 2018</c:v>
                </c:pt>
                <c:pt idx="16">
                  <c:v>авг. 2018</c:v>
                </c:pt>
                <c:pt idx="20">
                  <c:v>сент. 2018</c:v>
                </c:pt>
                <c:pt idx="24">
                  <c:v>окт. 2018</c:v>
                </c:pt>
                <c:pt idx="28">
                  <c:v>нояб. 2018</c:v>
                </c:pt>
                <c:pt idx="32">
                  <c:v>дек. 2018</c:v>
                </c:pt>
                <c:pt idx="36">
                  <c:v>февр. 2019</c:v>
                </c:pt>
                <c:pt idx="40">
                  <c:v>март 2019</c:v>
                </c:pt>
                <c:pt idx="44">
                  <c:v>апр. 2019</c:v>
                </c:pt>
                <c:pt idx="48">
                  <c:v>май. 2019</c:v>
                </c:pt>
                <c:pt idx="52">
                  <c:v>июнь. 2019</c:v>
                </c:pt>
                <c:pt idx="56">
                  <c:v>июль. 2019</c:v>
                </c:pt>
                <c:pt idx="60">
                  <c:v>авг. 2019</c:v>
                </c:pt>
                <c:pt idx="64">
                  <c:v>сент. 2019</c:v>
                </c:pt>
                <c:pt idx="68">
                  <c:v>окт. 2019</c:v>
                </c:pt>
                <c:pt idx="72">
                  <c:v>нояб. 2019</c:v>
                </c:pt>
                <c:pt idx="76">
                  <c:v>дек. 2019</c:v>
                </c:pt>
                <c:pt idx="80">
                  <c:v>янв. 2020</c:v>
                </c:pt>
                <c:pt idx="84">
                  <c:v>февр. 2020</c:v>
                </c:pt>
                <c:pt idx="88">
                  <c:v>март. 2020</c:v>
                </c:pt>
                <c:pt idx="92">
                  <c:v>май 2020</c:v>
                </c:pt>
                <c:pt idx="96">
                  <c:v>июнь 2020</c:v>
                </c:pt>
                <c:pt idx="100">
                  <c:v>июль 2020</c:v>
                </c:pt>
                <c:pt idx="104">
                  <c:v>авг. 2020</c:v>
                </c:pt>
                <c:pt idx="108">
                  <c:v>сент. 2020</c:v>
                </c:pt>
              </c:strCache>
            </c:strRef>
          </c:cat>
          <c:val>
            <c:numRef>
              <c:f>Лист1!$S$11:$S$122</c:f>
              <c:numCache>
                <c:formatCode>General</c:formatCode>
                <c:ptCount val="112"/>
                <c:pt idx="0">
                  <c:v>8.5</c:v>
                </c:pt>
                <c:pt idx="1">
                  <c:v>8.5</c:v>
                </c:pt>
                <c:pt idx="2">
                  <c:v>8.5</c:v>
                </c:pt>
                <c:pt idx="3">
                  <c:v>8.5</c:v>
                </c:pt>
                <c:pt idx="4">
                  <c:v>8.5</c:v>
                </c:pt>
                <c:pt idx="5">
                  <c:v>8.5</c:v>
                </c:pt>
                <c:pt idx="6">
                  <c:v>8.5</c:v>
                </c:pt>
                <c:pt idx="7">
                  <c:v>8.5</c:v>
                </c:pt>
                <c:pt idx="8">
                  <c:v>8.5</c:v>
                </c:pt>
                <c:pt idx="9">
                  <c:v>8.5</c:v>
                </c:pt>
                <c:pt idx="10">
                  <c:v>8.5</c:v>
                </c:pt>
                <c:pt idx="11">
                  <c:v>8.5</c:v>
                </c:pt>
                <c:pt idx="12">
                  <c:v>8.5</c:v>
                </c:pt>
                <c:pt idx="13">
                  <c:v>8.5</c:v>
                </c:pt>
                <c:pt idx="14">
                  <c:v>8.5</c:v>
                </c:pt>
                <c:pt idx="15">
                  <c:v>8.5</c:v>
                </c:pt>
                <c:pt idx="16">
                  <c:v>8.5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8.5</c:v>
                </c:pt>
                <c:pt idx="26">
                  <c:v>8.5</c:v>
                </c:pt>
                <c:pt idx="27">
                  <c:v>8.5</c:v>
                </c:pt>
                <c:pt idx="28">
                  <c:v>8.5</c:v>
                </c:pt>
                <c:pt idx="29">
                  <c:v>8.5</c:v>
                </c:pt>
                <c:pt idx="30">
                  <c:v>8.5</c:v>
                </c:pt>
                <c:pt idx="31">
                  <c:v>8.5</c:v>
                </c:pt>
                <c:pt idx="32">
                  <c:v>8.5</c:v>
                </c:pt>
                <c:pt idx="33">
                  <c:v>8.5</c:v>
                </c:pt>
                <c:pt idx="34">
                  <c:v>8.5</c:v>
                </c:pt>
                <c:pt idx="35">
                  <c:v>8.5</c:v>
                </c:pt>
                <c:pt idx="36">
                  <c:v>8.5</c:v>
                </c:pt>
                <c:pt idx="37">
                  <c:v>8.5</c:v>
                </c:pt>
                <c:pt idx="38">
                  <c:v>8.5</c:v>
                </c:pt>
                <c:pt idx="39">
                  <c:v>8.5</c:v>
                </c:pt>
                <c:pt idx="40">
                  <c:v>8.5</c:v>
                </c:pt>
                <c:pt idx="41">
                  <c:v>8.5</c:v>
                </c:pt>
                <c:pt idx="42">
                  <c:v>8.5</c:v>
                </c:pt>
                <c:pt idx="43">
                  <c:v>8.5</c:v>
                </c:pt>
                <c:pt idx="44">
                  <c:v>8.5</c:v>
                </c:pt>
                <c:pt idx="45">
                  <c:v>8.5</c:v>
                </c:pt>
                <c:pt idx="46">
                  <c:v>8.5</c:v>
                </c:pt>
                <c:pt idx="47">
                  <c:v>8.5</c:v>
                </c:pt>
                <c:pt idx="48">
                  <c:v>8.5</c:v>
                </c:pt>
                <c:pt idx="49">
                  <c:v>8.5</c:v>
                </c:pt>
                <c:pt idx="50">
                  <c:v>8.5</c:v>
                </c:pt>
                <c:pt idx="51">
                  <c:v>8.5</c:v>
                </c:pt>
                <c:pt idx="52">
                  <c:v>8.5</c:v>
                </c:pt>
                <c:pt idx="53">
                  <c:v>8.5</c:v>
                </c:pt>
                <c:pt idx="54">
                  <c:v>8.5</c:v>
                </c:pt>
                <c:pt idx="55">
                  <c:v>8.5</c:v>
                </c:pt>
                <c:pt idx="56">
                  <c:v>8.5</c:v>
                </c:pt>
                <c:pt idx="57">
                  <c:v>8.5</c:v>
                </c:pt>
                <c:pt idx="58">
                  <c:v>8.5</c:v>
                </c:pt>
                <c:pt idx="59">
                  <c:v>8.5</c:v>
                </c:pt>
                <c:pt idx="60">
                  <c:v>8.5</c:v>
                </c:pt>
                <c:pt idx="61">
                  <c:v>8.5</c:v>
                </c:pt>
                <c:pt idx="62">
                  <c:v>8.5</c:v>
                </c:pt>
                <c:pt idx="63">
                  <c:v>8.5</c:v>
                </c:pt>
                <c:pt idx="64">
                  <c:v>8.5</c:v>
                </c:pt>
                <c:pt idx="65">
                  <c:v>8.5</c:v>
                </c:pt>
                <c:pt idx="66">
                  <c:v>8.5</c:v>
                </c:pt>
                <c:pt idx="67">
                  <c:v>8.5</c:v>
                </c:pt>
                <c:pt idx="68">
                  <c:v>8.5</c:v>
                </c:pt>
                <c:pt idx="69">
                  <c:v>8.5</c:v>
                </c:pt>
                <c:pt idx="70">
                  <c:v>8.5</c:v>
                </c:pt>
                <c:pt idx="71">
                  <c:v>8.5</c:v>
                </c:pt>
                <c:pt idx="72">
                  <c:v>8.5</c:v>
                </c:pt>
                <c:pt idx="73">
                  <c:v>8.5</c:v>
                </c:pt>
                <c:pt idx="74">
                  <c:v>8.5</c:v>
                </c:pt>
                <c:pt idx="75">
                  <c:v>8.5</c:v>
                </c:pt>
                <c:pt idx="76">
                  <c:v>8.5</c:v>
                </c:pt>
                <c:pt idx="77">
                  <c:v>8.5</c:v>
                </c:pt>
                <c:pt idx="78">
                  <c:v>8.5</c:v>
                </c:pt>
                <c:pt idx="79">
                  <c:v>8.5</c:v>
                </c:pt>
                <c:pt idx="80">
                  <c:v>8.5</c:v>
                </c:pt>
                <c:pt idx="81">
                  <c:v>8.5</c:v>
                </c:pt>
                <c:pt idx="82">
                  <c:v>8.5</c:v>
                </c:pt>
                <c:pt idx="83">
                  <c:v>8.5</c:v>
                </c:pt>
                <c:pt idx="84">
                  <c:v>8.5</c:v>
                </c:pt>
                <c:pt idx="85">
                  <c:v>8.5</c:v>
                </c:pt>
                <c:pt idx="86">
                  <c:v>8.5</c:v>
                </c:pt>
                <c:pt idx="87">
                  <c:v>8.5</c:v>
                </c:pt>
                <c:pt idx="88">
                  <c:v>8.5</c:v>
                </c:pt>
                <c:pt idx="89">
                  <c:v>8.5</c:v>
                </c:pt>
                <c:pt idx="90">
                  <c:v>8.5</c:v>
                </c:pt>
                <c:pt idx="91">
                  <c:v>8.5</c:v>
                </c:pt>
                <c:pt idx="92">
                  <c:v>8.5</c:v>
                </c:pt>
                <c:pt idx="93">
                  <c:v>8.5</c:v>
                </c:pt>
                <c:pt idx="94">
                  <c:v>8.5</c:v>
                </c:pt>
                <c:pt idx="95">
                  <c:v>8.5</c:v>
                </c:pt>
                <c:pt idx="96">
                  <c:v>8.5</c:v>
                </c:pt>
                <c:pt idx="97">
                  <c:v>8.5</c:v>
                </c:pt>
                <c:pt idx="98">
                  <c:v>8.5</c:v>
                </c:pt>
                <c:pt idx="99">
                  <c:v>8.5</c:v>
                </c:pt>
                <c:pt idx="100">
                  <c:v>8.5</c:v>
                </c:pt>
                <c:pt idx="101">
                  <c:v>8.5</c:v>
                </c:pt>
                <c:pt idx="102">
                  <c:v>8.5</c:v>
                </c:pt>
                <c:pt idx="103">
                  <c:v>8.5</c:v>
                </c:pt>
                <c:pt idx="104">
                  <c:v>8.5</c:v>
                </c:pt>
                <c:pt idx="105">
                  <c:v>8.5</c:v>
                </c:pt>
                <c:pt idx="106">
                  <c:v>8.5</c:v>
                </c:pt>
                <c:pt idx="107">
                  <c:v>8.5</c:v>
                </c:pt>
                <c:pt idx="108">
                  <c:v>8.5</c:v>
                </c:pt>
                <c:pt idx="109">
                  <c:v>8.5</c:v>
                </c:pt>
                <c:pt idx="110">
                  <c:v>8.5</c:v>
                </c:pt>
                <c:pt idx="111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4E-4EF4-871C-A6A34D05165D}"/>
            </c:ext>
          </c:extLst>
        </c:ser>
        <c:ser>
          <c:idx val="3"/>
          <c:order val="2"/>
          <c:tx>
            <c:v>Минимальное значение рН для ОТС и ЗТС (СанПиН 21.4.1074-01)</c:v>
          </c:tx>
          <c:spPr>
            <a:ln>
              <a:solidFill>
                <a:srgbClr val="FF0000"/>
              </a:solidFill>
              <a:prstDash val="sysDash"/>
            </a:ln>
          </c:spPr>
          <c:marker>
            <c:spPr>
              <a:noFill/>
              <a:ln>
                <a:noFill/>
              </a:ln>
            </c:spPr>
          </c:marker>
          <c:cat>
            <c:strRef>
              <c:f>Лист1!$B$11:$B$122</c:f>
              <c:strCache>
                <c:ptCount val="109"/>
                <c:pt idx="0">
                  <c:v>апр. 2018</c:v>
                </c:pt>
                <c:pt idx="4">
                  <c:v>май 2018</c:v>
                </c:pt>
                <c:pt idx="8">
                  <c:v>июнь 2018</c:v>
                </c:pt>
                <c:pt idx="12">
                  <c:v>июль 2018</c:v>
                </c:pt>
                <c:pt idx="16">
                  <c:v>авг. 2018</c:v>
                </c:pt>
                <c:pt idx="20">
                  <c:v>сент. 2018</c:v>
                </c:pt>
                <c:pt idx="24">
                  <c:v>окт. 2018</c:v>
                </c:pt>
                <c:pt idx="28">
                  <c:v>нояб. 2018</c:v>
                </c:pt>
                <c:pt idx="32">
                  <c:v>дек. 2018</c:v>
                </c:pt>
                <c:pt idx="36">
                  <c:v>февр. 2019</c:v>
                </c:pt>
                <c:pt idx="40">
                  <c:v>март 2019</c:v>
                </c:pt>
                <c:pt idx="44">
                  <c:v>апр. 2019</c:v>
                </c:pt>
                <c:pt idx="48">
                  <c:v>май. 2019</c:v>
                </c:pt>
                <c:pt idx="52">
                  <c:v>июнь. 2019</c:v>
                </c:pt>
                <c:pt idx="56">
                  <c:v>июль. 2019</c:v>
                </c:pt>
                <c:pt idx="60">
                  <c:v>авг. 2019</c:v>
                </c:pt>
                <c:pt idx="64">
                  <c:v>сент. 2019</c:v>
                </c:pt>
                <c:pt idx="68">
                  <c:v>окт. 2019</c:v>
                </c:pt>
                <c:pt idx="72">
                  <c:v>нояб. 2019</c:v>
                </c:pt>
                <c:pt idx="76">
                  <c:v>дек. 2019</c:v>
                </c:pt>
                <c:pt idx="80">
                  <c:v>янв. 2020</c:v>
                </c:pt>
                <c:pt idx="84">
                  <c:v>февр. 2020</c:v>
                </c:pt>
                <c:pt idx="88">
                  <c:v>март. 2020</c:v>
                </c:pt>
                <c:pt idx="92">
                  <c:v>май 2020</c:v>
                </c:pt>
                <c:pt idx="96">
                  <c:v>июнь 2020</c:v>
                </c:pt>
                <c:pt idx="100">
                  <c:v>июль 2020</c:v>
                </c:pt>
                <c:pt idx="104">
                  <c:v>авг. 2020</c:v>
                </c:pt>
                <c:pt idx="108">
                  <c:v>сент. 2020</c:v>
                </c:pt>
              </c:strCache>
            </c:strRef>
          </c:cat>
          <c:val>
            <c:numRef>
              <c:f>Лист1!$U$11:$U$122</c:f>
              <c:numCache>
                <c:formatCode>General</c:formatCode>
                <c:ptCount val="112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6</c:v>
                </c:pt>
                <c:pt idx="51">
                  <c:v>6</c:v>
                </c:pt>
                <c:pt idx="52">
                  <c:v>6</c:v>
                </c:pt>
                <c:pt idx="53">
                  <c:v>6</c:v>
                </c:pt>
                <c:pt idx="54">
                  <c:v>6</c:v>
                </c:pt>
                <c:pt idx="55">
                  <c:v>6</c:v>
                </c:pt>
                <c:pt idx="56">
                  <c:v>6</c:v>
                </c:pt>
                <c:pt idx="57">
                  <c:v>6</c:v>
                </c:pt>
                <c:pt idx="58">
                  <c:v>6</c:v>
                </c:pt>
                <c:pt idx="59">
                  <c:v>6</c:v>
                </c:pt>
                <c:pt idx="60">
                  <c:v>6</c:v>
                </c:pt>
                <c:pt idx="61">
                  <c:v>6</c:v>
                </c:pt>
                <c:pt idx="62">
                  <c:v>6</c:v>
                </c:pt>
                <c:pt idx="63">
                  <c:v>6</c:v>
                </c:pt>
                <c:pt idx="64">
                  <c:v>6</c:v>
                </c:pt>
                <c:pt idx="65">
                  <c:v>6</c:v>
                </c:pt>
                <c:pt idx="66">
                  <c:v>6</c:v>
                </c:pt>
                <c:pt idx="67">
                  <c:v>6</c:v>
                </c:pt>
                <c:pt idx="68">
                  <c:v>6</c:v>
                </c:pt>
                <c:pt idx="69">
                  <c:v>6</c:v>
                </c:pt>
                <c:pt idx="70">
                  <c:v>6</c:v>
                </c:pt>
                <c:pt idx="71">
                  <c:v>6</c:v>
                </c:pt>
                <c:pt idx="72">
                  <c:v>6</c:v>
                </c:pt>
                <c:pt idx="73">
                  <c:v>6</c:v>
                </c:pt>
                <c:pt idx="74">
                  <c:v>6</c:v>
                </c:pt>
                <c:pt idx="75">
                  <c:v>6</c:v>
                </c:pt>
                <c:pt idx="76">
                  <c:v>6</c:v>
                </c:pt>
                <c:pt idx="77">
                  <c:v>6</c:v>
                </c:pt>
                <c:pt idx="78">
                  <c:v>6</c:v>
                </c:pt>
                <c:pt idx="79">
                  <c:v>6</c:v>
                </c:pt>
                <c:pt idx="80">
                  <c:v>6</c:v>
                </c:pt>
                <c:pt idx="81">
                  <c:v>6</c:v>
                </c:pt>
                <c:pt idx="82">
                  <c:v>6</c:v>
                </c:pt>
                <c:pt idx="83">
                  <c:v>6</c:v>
                </c:pt>
                <c:pt idx="84">
                  <c:v>6</c:v>
                </c:pt>
                <c:pt idx="85">
                  <c:v>6</c:v>
                </c:pt>
                <c:pt idx="86">
                  <c:v>6</c:v>
                </c:pt>
                <c:pt idx="87">
                  <c:v>6</c:v>
                </c:pt>
                <c:pt idx="88">
                  <c:v>6</c:v>
                </c:pt>
                <c:pt idx="89">
                  <c:v>6</c:v>
                </c:pt>
                <c:pt idx="90">
                  <c:v>6</c:v>
                </c:pt>
                <c:pt idx="91">
                  <c:v>6</c:v>
                </c:pt>
                <c:pt idx="92">
                  <c:v>6</c:v>
                </c:pt>
                <c:pt idx="93">
                  <c:v>6</c:v>
                </c:pt>
                <c:pt idx="94">
                  <c:v>6</c:v>
                </c:pt>
                <c:pt idx="95">
                  <c:v>6</c:v>
                </c:pt>
                <c:pt idx="96">
                  <c:v>6</c:v>
                </c:pt>
                <c:pt idx="97">
                  <c:v>6</c:v>
                </c:pt>
                <c:pt idx="98">
                  <c:v>6</c:v>
                </c:pt>
                <c:pt idx="99">
                  <c:v>6</c:v>
                </c:pt>
                <c:pt idx="100">
                  <c:v>6</c:v>
                </c:pt>
                <c:pt idx="101">
                  <c:v>6</c:v>
                </c:pt>
                <c:pt idx="102">
                  <c:v>6</c:v>
                </c:pt>
                <c:pt idx="103">
                  <c:v>6</c:v>
                </c:pt>
                <c:pt idx="104">
                  <c:v>6</c:v>
                </c:pt>
                <c:pt idx="105">
                  <c:v>6</c:v>
                </c:pt>
                <c:pt idx="106">
                  <c:v>6</c:v>
                </c:pt>
                <c:pt idx="107">
                  <c:v>6</c:v>
                </c:pt>
                <c:pt idx="108">
                  <c:v>6</c:v>
                </c:pt>
                <c:pt idx="109">
                  <c:v>6</c:v>
                </c:pt>
                <c:pt idx="110">
                  <c:v>6</c:v>
                </c:pt>
                <c:pt idx="11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4E-4EF4-871C-A6A34D05165D}"/>
            </c:ext>
          </c:extLst>
        </c:ser>
        <c:ser>
          <c:idx val="4"/>
          <c:order val="3"/>
          <c:tx>
            <c:v>максимальное значение рН для ЗТС (СП 12.13330.2012)</c:v>
          </c:tx>
          <c:spPr>
            <a:ln>
              <a:solidFill>
                <a:srgbClr val="FF0000"/>
              </a:solidFill>
              <a:prstDash val="dashDot"/>
            </a:ln>
          </c:spPr>
          <c:marker>
            <c:spPr>
              <a:noFill/>
              <a:ln>
                <a:noFill/>
              </a:ln>
            </c:spPr>
          </c:marker>
          <c:cat>
            <c:strRef>
              <c:f>Лист1!$B$11:$B$122</c:f>
              <c:strCache>
                <c:ptCount val="109"/>
                <c:pt idx="0">
                  <c:v>апр. 2018</c:v>
                </c:pt>
                <c:pt idx="4">
                  <c:v>май 2018</c:v>
                </c:pt>
                <c:pt idx="8">
                  <c:v>июнь 2018</c:v>
                </c:pt>
                <c:pt idx="12">
                  <c:v>июль 2018</c:v>
                </c:pt>
                <c:pt idx="16">
                  <c:v>авг. 2018</c:v>
                </c:pt>
                <c:pt idx="20">
                  <c:v>сент. 2018</c:v>
                </c:pt>
                <c:pt idx="24">
                  <c:v>окт. 2018</c:v>
                </c:pt>
                <c:pt idx="28">
                  <c:v>нояб. 2018</c:v>
                </c:pt>
                <c:pt idx="32">
                  <c:v>дек. 2018</c:v>
                </c:pt>
                <c:pt idx="36">
                  <c:v>февр. 2019</c:v>
                </c:pt>
                <c:pt idx="40">
                  <c:v>март 2019</c:v>
                </c:pt>
                <c:pt idx="44">
                  <c:v>апр. 2019</c:v>
                </c:pt>
                <c:pt idx="48">
                  <c:v>май. 2019</c:v>
                </c:pt>
                <c:pt idx="52">
                  <c:v>июнь. 2019</c:v>
                </c:pt>
                <c:pt idx="56">
                  <c:v>июль. 2019</c:v>
                </c:pt>
                <c:pt idx="60">
                  <c:v>авг. 2019</c:v>
                </c:pt>
                <c:pt idx="64">
                  <c:v>сент. 2019</c:v>
                </c:pt>
                <c:pt idx="68">
                  <c:v>окт. 2019</c:v>
                </c:pt>
                <c:pt idx="72">
                  <c:v>нояб. 2019</c:v>
                </c:pt>
                <c:pt idx="76">
                  <c:v>дек. 2019</c:v>
                </c:pt>
                <c:pt idx="80">
                  <c:v>янв. 2020</c:v>
                </c:pt>
                <c:pt idx="84">
                  <c:v>февр. 2020</c:v>
                </c:pt>
                <c:pt idx="88">
                  <c:v>март. 2020</c:v>
                </c:pt>
                <c:pt idx="92">
                  <c:v>май 2020</c:v>
                </c:pt>
                <c:pt idx="96">
                  <c:v>июнь 2020</c:v>
                </c:pt>
                <c:pt idx="100">
                  <c:v>июль 2020</c:v>
                </c:pt>
                <c:pt idx="104">
                  <c:v>авг. 2020</c:v>
                </c:pt>
                <c:pt idx="108">
                  <c:v>сент. 2020</c:v>
                </c:pt>
              </c:strCache>
            </c:strRef>
          </c:cat>
          <c:val>
            <c:numRef>
              <c:f>Лист1!$V$11:$V$122</c:f>
              <c:numCache>
                <c:formatCode>General</c:formatCode>
                <c:ptCount val="112"/>
                <c:pt idx="0">
                  <c:v>10.5</c:v>
                </c:pt>
                <c:pt idx="1">
                  <c:v>10.5</c:v>
                </c:pt>
                <c:pt idx="2">
                  <c:v>10.5</c:v>
                </c:pt>
                <c:pt idx="3">
                  <c:v>10.5</c:v>
                </c:pt>
                <c:pt idx="4">
                  <c:v>10.5</c:v>
                </c:pt>
                <c:pt idx="5">
                  <c:v>10.5</c:v>
                </c:pt>
                <c:pt idx="6">
                  <c:v>10.5</c:v>
                </c:pt>
                <c:pt idx="7">
                  <c:v>10.5</c:v>
                </c:pt>
                <c:pt idx="8">
                  <c:v>10.5</c:v>
                </c:pt>
                <c:pt idx="9">
                  <c:v>10.5</c:v>
                </c:pt>
                <c:pt idx="10">
                  <c:v>10.5</c:v>
                </c:pt>
                <c:pt idx="11">
                  <c:v>10.5</c:v>
                </c:pt>
                <c:pt idx="12">
                  <c:v>10.5</c:v>
                </c:pt>
                <c:pt idx="13">
                  <c:v>10.5</c:v>
                </c:pt>
                <c:pt idx="14">
                  <c:v>10.5</c:v>
                </c:pt>
                <c:pt idx="15">
                  <c:v>10.5</c:v>
                </c:pt>
                <c:pt idx="16">
                  <c:v>10.5</c:v>
                </c:pt>
                <c:pt idx="17">
                  <c:v>10.5</c:v>
                </c:pt>
                <c:pt idx="18">
                  <c:v>10.5</c:v>
                </c:pt>
                <c:pt idx="19">
                  <c:v>10.5</c:v>
                </c:pt>
                <c:pt idx="20">
                  <c:v>10.5</c:v>
                </c:pt>
                <c:pt idx="21">
                  <c:v>10.5</c:v>
                </c:pt>
                <c:pt idx="22">
                  <c:v>10.5</c:v>
                </c:pt>
                <c:pt idx="23">
                  <c:v>10.5</c:v>
                </c:pt>
                <c:pt idx="24">
                  <c:v>10.5</c:v>
                </c:pt>
                <c:pt idx="25">
                  <c:v>10.5</c:v>
                </c:pt>
                <c:pt idx="26">
                  <c:v>10.5</c:v>
                </c:pt>
                <c:pt idx="27">
                  <c:v>10.5</c:v>
                </c:pt>
                <c:pt idx="28">
                  <c:v>10.5</c:v>
                </c:pt>
                <c:pt idx="29">
                  <c:v>10.5</c:v>
                </c:pt>
                <c:pt idx="30">
                  <c:v>10.5</c:v>
                </c:pt>
                <c:pt idx="31">
                  <c:v>10.5</c:v>
                </c:pt>
                <c:pt idx="32">
                  <c:v>10.5</c:v>
                </c:pt>
                <c:pt idx="33">
                  <c:v>10.5</c:v>
                </c:pt>
                <c:pt idx="34">
                  <c:v>10.5</c:v>
                </c:pt>
                <c:pt idx="35">
                  <c:v>10.5</c:v>
                </c:pt>
                <c:pt idx="36">
                  <c:v>10.5</c:v>
                </c:pt>
                <c:pt idx="37">
                  <c:v>10.5</c:v>
                </c:pt>
                <c:pt idx="38">
                  <c:v>10.5</c:v>
                </c:pt>
                <c:pt idx="39">
                  <c:v>10.5</c:v>
                </c:pt>
                <c:pt idx="40">
                  <c:v>10.5</c:v>
                </c:pt>
                <c:pt idx="41">
                  <c:v>10.5</c:v>
                </c:pt>
                <c:pt idx="42">
                  <c:v>10.5</c:v>
                </c:pt>
                <c:pt idx="43">
                  <c:v>10.5</c:v>
                </c:pt>
                <c:pt idx="44">
                  <c:v>10.5</c:v>
                </c:pt>
                <c:pt idx="45">
                  <c:v>10.5</c:v>
                </c:pt>
                <c:pt idx="46">
                  <c:v>10.5</c:v>
                </c:pt>
                <c:pt idx="47">
                  <c:v>10.5</c:v>
                </c:pt>
                <c:pt idx="48">
                  <c:v>10.5</c:v>
                </c:pt>
                <c:pt idx="49">
                  <c:v>10.5</c:v>
                </c:pt>
                <c:pt idx="50">
                  <c:v>10.5</c:v>
                </c:pt>
                <c:pt idx="51">
                  <c:v>10.5</c:v>
                </c:pt>
                <c:pt idx="52">
                  <c:v>10.5</c:v>
                </c:pt>
                <c:pt idx="53">
                  <c:v>10.5</c:v>
                </c:pt>
                <c:pt idx="54">
                  <c:v>10.5</c:v>
                </c:pt>
                <c:pt idx="55">
                  <c:v>10.5</c:v>
                </c:pt>
                <c:pt idx="56">
                  <c:v>10.5</c:v>
                </c:pt>
                <c:pt idx="57">
                  <c:v>10.5</c:v>
                </c:pt>
                <c:pt idx="58">
                  <c:v>10.5</c:v>
                </c:pt>
                <c:pt idx="59">
                  <c:v>10.5</c:v>
                </c:pt>
                <c:pt idx="60">
                  <c:v>10.5</c:v>
                </c:pt>
                <c:pt idx="61">
                  <c:v>10.5</c:v>
                </c:pt>
                <c:pt idx="62">
                  <c:v>10.5</c:v>
                </c:pt>
                <c:pt idx="63">
                  <c:v>10.5</c:v>
                </c:pt>
                <c:pt idx="64">
                  <c:v>10.5</c:v>
                </c:pt>
                <c:pt idx="65">
                  <c:v>10.5</c:v>
                </c:pt>
                <c:pt idx="66">
                  <c:v>10.5</c:v>
                </c:pt>
                <c:pt idx="67">
                  <c:v>10.5</c:v>
                </c:pt>
                <c:pt idx="68">
                  <c:v>10.5</c:v>
                </c:pt>
                <c:pt idx="69">
                  <c:v>10.5</c:v>
                </c:pt>
                <c:pt idx="70">
                  <c:v>10.5</c:v>
                </c:pt>
                <c:pt idx="71">
                  <c:v>10.5</c:v>
                </c:pt>
                <c:pt idx="72">
                  <c:v>10.5</c:v>
                </c:pt>
                <c:pt idx="73">
                  <c:v>10.5</c:v>
                </c:pt>
                <c:pt idx="74">
                  <c:v>10.5</c:v>
                </c:pt>
                <c:pt idx="75">
                  <c:v>10.5</c:v>
                </c:pt>
                <c:pt idx="76">
                  <c:v>10.5</c:v>
                </c:pt>
                <c:pt idx="77">
                  <c:v>10.5</c:v>
                </c:pt>
                <c:pt idx="78">
                  <c:v>10.5</c:v>
                </c:pt>
                <c:pt idx="79">
                  <c:v>10.5</c:v>
                </c:pt>
                <c:pt idx="80">
                  <c:v>10.5</c:v>
                </c:pt>
                <c:pt idx="81">
                  <c:v>10.5</c:v>
                </c:pt>
                <c:pt idx="82">
                  <c:v>10.5</c:v>
                </c:pt>
                <c:pt idx="83">
                  <c:v>10.5</c:v>
                </c:pt>
                <c:pt idx="84">
                  <c:v>10.5</c:v>
                </c:pt>
                <c:pt idx="85">
                  <c:v>10.5</c:v>
                </c:pt>
                <c:pt idx="86">
                  <c:v>10.5</c:v>
                </c:pt>
                <c:pt idx="87">
                  <c:v>10.5</c:v>
                </c:pt>
                <c:pt idx="88">
                  <c:v>10.5</c:v>
                </c:pt>
                <c:pt idx="89">
                  <c:v>10.5</c:v>
                </c:pt>
                <c:pt idx="90">
                  <c:v>10.5</c:v>
                </c:pt>
                <c:pt idx="91">
                  <c:v>10.5</c:v>
                </c:pt>
                <c:pt idx="92">
                  <c:v>10.5</c:v>
                </c:pt>
                <c:pt idx="93">
                  <c:v>10.5</c:v>
                </c:pt>
                <c:pt idx="94">
                  <c:v>10.5</c:v>
                </c:pt>
                <c:pt idx="95">
                  <c:v>10.5</c:v>
                </c:pt>
                <c:pt idx="96">
                  <c:v>10.5</c:v>
                </c:pt>
                <c:pt idx="97">
                  <c:v>10.5</c:v>
                </c:pt>
                <c:pt idx="98">
                  <c:v>10.5</c:v>
                </c:pt>
                <c:pt idx="99">
                  <c:v>10.5</c:v>
                </c:pt>
                <c:pt idx="100">
                  <c:v>10.5</c:v>
                </c:pt>
                <c:pt idx="101">
                  <c:v>10.5</c:v>
                </c:pt>
                <c:pt idx="102">
                  <c:v>10.5</c:v>
                </c:pt>
                <c:pt idx="103">
                  <c:v>10.5</c:v>
                </c:pt>
                <c:pt idx="104">
                  <c:v>10.5</c:v>
                </c:pt>
                <c:pt idx="105">
                  <c:v>10.5</c:v>
                </c:pt>
                <c:pt idx="106">
                  <c:v>10.5</c:v>
                </c:pt>
                <c:pt idx="107">
                  <c:v>10.5</c:v>
                </c:pt>
                <c:pt idx="108">
                  <c:v>10.5</c:v>
                </c:pt>
                <c:pt idx="109">
                  <c:v>10.5</c:v>
                </c:pt>
                <c:pt idx="110">
                  <c:v>10.5</c:v>
                </c:pt>
                <c:pt idx="111">
                  <c:v>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44E-4EF4-871C-A6A34D05165D}"/>
            </c:ext>
          </c:extLst>
        </c:ser>
        <c:ser>
          <c:idx val="5"/>
          <c:order val="4"/>
          <c:tx>
            <c:v>Максимальное значение рН для ОТС и ЗТС (СП 12.13330.2012; СанПиН 2.1.4.1074-01)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Лист1!$B$11:$B$122</c:f>
              <c:strCache>
                <c:ptCount val="109"/>
                <c:pt idx="0">
                  <c:v>апр. 2018</c:v>
                </c:pt>
                <c:pt idx="4">
                  <c:v>май 2018</c:v>
                </c:pt>
                <c:pt idx="8">
                  <c:v>июнь 2018</c:v>
                </c:pt>
                <c:pt idx="12">
                  <c:v>июль 2018</c:v>
                </c:pt>
                <c:pt idx="16">
                  <c:v>авг. 2018</c:v>
                </c:pt>
                <c:pt idx="20">
                  <c:v>сент. 2018</c:v>
                </c:pt>
                <c:pt idx="24">
                  <c:v>окт. 2018</c:v>
                </c:pt>
                <c:pt idx="28">
                  <c:v>нояб. 2018</c:v>
                </c:pt>
                <c:pt idx="32">
                  <c:v>дек. 2018</c:v>
                </c:pt>
                <c:pt idx="36">
                  <c:v>февр. 2019</c:v>
                </c:pt>
                <c:pt idx="40">
                  <c:v>март 2019</c:v>
                </c:pt>
                <c:pt idx="44">
                  <c:v>апр. 2019</c:v>
                </c:pt>
                <c:pt idx="48">
                  <c:v>май. 2019</c:v>
                </c:pt>
                <c:pt idx="52">
                  <c:v>июнь. 2019</c:v>
                </c:pt>
                <c:pt idx="56">
                  <c:v>июль. 2019</c:v>
                </c:pt>
                <c:pt idx="60">
                  <c:v>авг. 2019</c:v>
                </c:pt>
                <c:pt idx="64">
                  <c:v>сент. 2019</c:v>
                </c:pt>
                <c:pt idx="68">
                  <c:v>окт. 2019</c:v>
                </c:pt>
                <c:pt idx="72">
                  <c:v>нояб. 2019</c:v>
                </c:pt>
                <c:pt idx="76">
                  <c:v>дек. 2019</c:v>
                </c:pt>
                <c:pt idx="80">
                  <c:v>янв. 2020</c:v>
                </c:pt>
                <c:pt idx="84">
                  <c:v>февр. 2020</c:v>
                </c:pt>
                <c:pt idx="88">
                  <c:v>март. 2020</c:v>
                </c:pt>
                <c:pt idx="92">
                  <c:v>май 2020</c:v>
                </c:pt>
                <c:pt idx="96">
                  <c:v>июнь 2020</c:v>
                </c:pt>
                <c:pt idx="100">
                  <c:v>июль 2020</c:v>
                </c:pt>
                <c:pt idx="104">
                  <c:v>авг. 2020</c:v>
                </c:pt>
                <c:pt idx="108">
                  <c:v>сент. 2020</c:v>
                </c:pt>
              </c:strCache>
            </c:strRef>
          </c:cat>
          <c:val>
            <c:numRef>
              <c:f>Лист1!$T$11:$T$122</c:f>
              <c:numCache>
                <c:formatCode>General</c:formatCode>
                <c:ptCount val="112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9</c:v>
                </c:pt>
                <c:pt idx="26">
                  <c:v>9</c:v>
                </c:pt>
                <c:pt idx="27">
                  <c:v>9</c:v>
                </c:pt>
                <c:pt idx="28">
                  <c:v>9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9</c:v>
                </c:pt>
                <c:pt idx="43">
                  <c:v>9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9</c:v>
                </c:pt>
                <c:pt idx="48">
                  <c:v>9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9</c:v>
                </c:pt>
                <c:pt idx="58">
                  <c:v>9</c:v>
                </c:pt>
                <c:pt idx="59">
                  <c:v>9</c:v>
                </c:pt>
                <c:pt idx="60">
                  <c:v>9</c:v>
                </c:pt>
                <c:pt idx="61">
                  <c:v>9</c:v>
                </c:pt>
                <c:pt idx="62">
                  <c:v>9</c:v>
                </c:pt>
                <c:pt idx="63">
                  <c:v>9</c:v>
                </c:pt>
                <c:pt idx="64">
                  <c:v>9</c:v>
                </c:pt>
                <c:pt idx="65">
                  <c:v>9</c:v>
                </c:pt>
                <c:pt idx="66">
                  <c:v>9</c:v>
                </c:pt>
                <c:pt idx="67">
                  <c:v>9</c:v>
                </c:pt>
                <c:pt idx="68">
                  <c:v>9</c:v>
                </c:pt>
                <c:pt idx="69">
                  <c:v>9</c:v>
                </c:pt>
                <c:pt idx="70">
                  <c:v>9</c:v>
                </c:pt>
                <c:pt idx="71">
                  <c:v>9</c:v>
                </c:pt>
                <c:pt idx="72">
                  <c:v>9</c:v>
                </c:pt>
                <c:pt idx="73">
                  <c:v>9</c:v>
                </c:pt>
                <c:pt idx="74">
                  <c:v>9</c:v>
                </c:pt>
                <c:pt idx="75">
                  <c:v>9</c:v>
                </c:pt>
                <c:pt idx="76">
                  <c:v>9</c:v>
                </c:pt>
                <c:pt idx="77">
                  <c:v>9</c:v>
                </c:pt>
                <c:pt idx="78">
                  <c:v>9</c:v>
                </c:pt>
                <c:pt idx="79">
                  <c:v>9</c:v>
                </c:pt>
                <c:pt idx="80">
                  <c:v>9</c:v>
                </c:pt>
                <c:pt idx="81">
                  <c:v>9</c:v>
                </c:pt>
                <c:pt idx="82">
                  <c:v>9</c:v>
                </c:pt>
                <c:pt idx="83">
                  <c:v>9</c:v>
                </c:pt>
                <c:pt idx="84">
                  <c:v>9</c:v>
                </c:pt>
                <c:pt idx="85">
                  <c:v>9</c:v>
                </c:pt>
                <c:pt idx="86">
                  <c:v>9</c:v>
                </c:pt>
                <c:pt idx="87">
                  <c:v>9</c:v>
                </c:pt>
                <c:pt idx="88">
                  <c:v>9</c:v>
                </c:pt>
                <c:pt idx="89">
                  <c:v>9</c:v>
                </c:pt>
                <c:pt idx="90">
                  <c:v>9</c:v>
                </c:pt>
                <c:pt idx="91">
                  <c:v>9</c:v>
                </c:pt>
                <c:pt idx="92">
                  <c:v>9</c:v>
                </c:pt>
                <c:pt idx="93">
                  <c:v>9</c:v>
                </c:pt>
                <c:pt idx="94">
                  <c:v>9</c:v>
                </c:pt>
                <c:pt idx="95">
                  <c:v>9</c:v>
                </c:pt>
                <c:pt idx="96">
                  <c:v>9</c:v>
                </c:pt>
                <c:pt idx="97">
                  <c:v>9</c:v>
                </c:pt>
                <c:pt idx="98">
                  <c:v>9</c:v>
                </c:pt>
                <c:pt idx="99">
                  <c:v>9</c:v>
                </c:pt>
                <c:pt idx="100">
                  <c:v>9</c:v>
                </c:pt>
                <c:pt idx="101">
                  <c:v>9</c:v>
                </c:pt>
                <c:pt idx="102">
                  <c:v>9</c:v>
                </c:pt>
                <c:pt idx="103">
                  <c:v>9</c:v>
                </c:pt>
                <c:pt idx="104">
                  <c:v>9</c:v>
                </c:pt>
                <c:pt idx="105">
                  <c:v>9</c:v>
                </c:pt>
                <c:pt idx="106">
                  <c:v>9</c:v>
                </c:pt>
                <c:pt idx="107">
                  <c:v>9</c:v>
                </c:pt>
                <c:pt idx="108">
                  <c:v>9</c:v>
                </c:pt>
                <c:pt idx="109">
                  <c:v>9</c:v>
                </c:pt>
                <c:pt idx="110">
                  <c:v>9</c:v>
                </c:pt>
                <c:pt idx="11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44E-4EF4-871C-A6A34D051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216448"/>
        <c:axId val="60218368"/>
      </c:lineChart>
      <c:dateAx>
        <c:axId val="6021644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60218368"/>
        <c:crosses val="autoZero"/>
        <c:auto val="0"/>
        <c:lblOffset val="100"/>
        <c:baseTimeUnit val="days"/>
        <c:minorUnit val="2"/>
      </c:dateAx>
      <c:valAx>
        <c:axId val="60218368"/>
        <c:scaling>
          <c:orientation val="minMax"/>
          <c:max val="11"/>
          <c:min val="5.5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60216448"/>
        <c:crosses val="autoZero"/>
        <c:crossBetween val="midCat"/>
        <c:majorUnit val="0.4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Сопоставление фактических и нормативных значений водородного показателя горячей воды СЦГВ (подача) ЦТП-12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Фактические значения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'ЦТП-12'!$Q$6:$Q$31</c:f>
              <c:numCache>
                <c:formatCode>mmm/yy</c:formatCode>
                <c:ptCount val="26"/>
                <c:pt idx="0">
                  <c:v>43191</c:v>
                </c:pt>
                <c:pt idx="1">
                  <c:v>43221</c:v>
                </c:pt>
                <c:pt idx="2">
                  <c:v>43282</c:v>
                </c:pt>
                <c:pt idx="3">
                  <c:v>43313</c:v>
                </c:pt>
                <c:pt idx="4">
                  <c:v>43344</c:v>
                </c:pt>
                <c:pt idx="5">
                  <c:v>43374</c:v>
                </c:pt>
                <c:pt idx="6">
                  <c:v>43405</c:v>
                </c:pt>
                <c:pt idx="7">
                  <c:v>43435</c:v>
                </c:pt>
                <c:pt idx="8">
                  <c:v>43497</c:v>
                </c:pt>
                <c:pt idx="9">
                  <c:v>43525</c:v>
                </c:pt>
                <c:pt idx="10">
                  <c:v>43556</c:v>
                </c:pt>
                <c:pt idx="11">
                  <c:v>43586</c:v>
                </c:pt>
                <c:pt idx="12">
                  <c:v>43647</c:v>
                </c:pt>
                <c:pt idx="13">
                  <c:v>43678</c:v>
                </c:pt>
                <c:pt idx="14">
                  <c:v>43709</c:v>
                </c:pt>
                <c:pt idx="15">
                  <c:v>43739</c:v>
                </c:pt>
                <c:pt idx="16">
                  <c:v>43770</c:v>
                </c:pt>
                <c:pt idx="17">
                  <c:v>43800</c:v>
                </c:pt>
                <c:pt idx="18">
                  <c:v>43831</c:v>
                </c:pt>
                <c:pt idx="19">
                  <c:v>43862</c:v>
                </c:pt>
                <c:pt idx="20">
                  <c:v>43891</c:v>
                </c:pt>
                <c:pt idx="21">
                  <c:v>43952</c:v>
                </c:pt>
                <c:pt idx="22">
                  <c:v>43983</c:v>
                </c:pt>
                <c:pt idx="23">
                  <c:v>44013</c:v>
                </c:pt>
                <c:pt idx="24">
                  <c:v>44044</c:v>
                </c:pt>
                <c:pt idx="25">
                  <c:v>44075</c:v>
                </c:pt>
              </c:numCache>
            </c:numRef>
          </c:cat>
          <c:val>
            <c:numRef>
              <c:f>'ЦТП-12'!$P$6:$P$31</c:f>
              <c:numCache>
                <c:formatCode>0.00</c:formatCode>
                <c:ptCount val="26"/>
                <c:pt idx="0">
                  <c:v>8.0500000000000007</c:v>
                </c:pt>
                <c:pt idx="1">
                  <c:v>8.33</c:v>
                </c:pt>
                <c:pt idx="2">
                  <c:v>8.42</c:v>
                </c:pt>
                <c:pt idx="3">
                  <c:v>8.2800000000000011</c:v>
                </c:pt>
                <c:pt idx="4">
                  <c:v>8.4500000000000028</c:v>
                </c:pt>
                <c:pt idx="5">
                  <c:v>8.4700000000000006</c:v>
                </c:pt>
                <c:pt idx="6">
                  <c:v>8.32</c:v>
                </c:pt>
                <c:pt idx="7">
                  <c:v>8.42</c:v>
                </c:pt>
                <c:pt idx="8">
                  <c:v>8.4600000000000026</c:v>
                </c:pt>
                <c:pt idx="9">
                  <c:v>8.2299999999999986</c:v>
                </c:pt>
                <c:pt idx="10">
                  <c:v>8.3500000000000068</c:v>
                </c:pt>
                <c:pt idx="11">
                  <c:v>8.2800000000000011</c:v>
                </c:pt>
                <c:pt idx="12">
                  <c:v>8.4500000000000028</c:v>
                </c:pt>
                <c:pt idx="13">
                  <c:v>8.08</c:v>
                </c:pt>
                <c:pt idx="14">
                  <c:v>8.06</c:v>
                </c:pt>
                <c:pt idx="15">
                  <c:v>8.4500000000000028</c:v>
                </c:pt>
                <c:pt idx="16">
                  <c:v>8.27</c:v>
                </c:pt>
                <c:pt idx="17">
                  <c:v>8.09</c:v>
                </c:pt>
                <c:pt idx="18">
                  <c:v>8.31</c:v>
                </c:pt>
                <c:pt idx="19">
                  <c:v>8.1</c:v>
                </c:pt>
                <c:pt idx="20">
                  <c:v>8.120000000000001</c:v>
                </c:pt>
                <c:pt idx="21">
                  <c:v>7.56</c:v>
                </c:pt>
                <c:pt idx="22">
                  <c:v>7.78</c:v>
                </c:pt>
                <c:pt idx="23" formatCode="General">
                  <c:v>7.6899999999999995</c:v>
                </c:pt>
                <c:pt idx="24">
                  <c:v>7.68</c:v>
                </c:pt>
                <c:pt idx="25" formatCode="General">
                  <c:v>7.44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67-4613-9105-2BA9706F1375}"/>
            </c:ext>
          </c:extLst>
        </c:ser>
        <c:ser>
          <c:idx val="1"/>
          <c:order val="1"/>
          <c:tx>
            <c:v>Минимальное нормативное значение (СанПиН 2.1.4.1074-01)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'ЦТП-12'!$C$65:$C$92</c:f>
              <c:numCache>
                <c:formatCode>General</c:formatCode>
                <c:ptCount val="28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67-4613-9105-2BA9706F1375}"/>
            </c:ext>
          </c:extLst>
        </c:ser>
        <c:ser>
          <c:idx val="2"/>
          <c:order val="2"/>
          <c:tx>
            <c:v>Максимальное нормативное значение (СанПиН 2.1.4.1074-01; СП 12.13330.2012)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'ЦТП-12'!$E$65:$E$92</c:f>
              <c:numCache>
                <c:formatCode>General</c:formatCode>
                <c:ptCount val="28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9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9</c:v>
                </c:pt>
                <c:pt idx="26">
                  <c:v>9</c:v>
                </c:pt>
                <c:pt idx="27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67-4613-9105-2BA9706F1375}"/>
            </c:ext>
          </c:extLst>
        </c:ser>
        <c:ser>
          <c:idx val="3"/>
          <c:order val="3"/>
          <c:tx>
            <c:v>Минимальное нормативное значение (СП 12.13330.2012)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'ЦТП-12'!$D$65:$D$92</c:f>
              <c:numCache>
                <c:formatCode>General</c:formatCode>
                <c:ptCount val="28"/>
                <c:pt idx="0">
                  <c:v>8.5</c:v>
                </c:pt>
                <c:pt idx="1">
                  <c:v>8.5</c:v>
                </c:pt>
                <c:pt idx="2">
                  <c:v>8.5</c:v>
                </c:pt>
                <c:pt idx="3">
                  <c:v>8.5</c:v>
                </c:pt>
                <c:pt idx="4">
                  <c:v>8.5</c:v>
                </c:pt>
                <c:pt idx="5">
                  <c:v>8.5</c:v>
                </c:pt>
                <c:pt idx="6">
                  <c:v>8.5</c:v>
                </c:pt>
                <c:pt idx="7">
                  <c:v>8.5</c:v>
                </c:pt>
                <c:pt idx="8">
                  <c:v>8.5</c:v>
                </c:pt>
                <c:pt idx="9">
                  <c:v>8.5</c:v>
                </c:pt>
                <c:pt idx="10">
                  <c:v>8.5</c:v>
                </c:pt>
                <c:pt idx="11">
                  <c:v>8.5</c:v>
                </c:pt>
                <c:pt idx="12">
                  <c:v>8.5</c:v>
                </c:pt>
                <c:pt idx="13">
                  <c:v>8.5</c:v>
                </c:pt>
                <c:pt idx="14">
                  <c:v>8.5</c:v>
                </c:pt>
                <c:pt idx="15">
                  <c:v>8.5</c:v>
                </c:pt>
                <c:pt idx="16">
                  <c:v>8.5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8.5</c:v>
                </c:pt>
                <c:pt idx="26">
                  <c:v>8.5</c:v>
                </c:pt>
                <c:pt idx="27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67-4613-9105-2BA9706F1375}"/>
            </c:ext>
          </c:extLst>
        </c:ser>
        <c:ser>
          <c:idx val="4"/>
          <c:order val="4"/>
          <c:tx>
            <c:v>Максимальное нормативное значение (ПТЭ ЭС и С)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'ЦТП-12'!$F$65:$F$92</c:f>
              <c:numCache>
                <c:formatCode>General</c:formatCode>
                <c:ptCount val="28"/>
                <c:pt idx="0">
                  <c:v>9.5</c:v>
                </c:pt>
                <c:pt idx="1">
                  <c:v>9.5</c:v>
                </c:pt>
                <c:pt idx="2">
                  <c:v>9.5</c:v>
                </c:pt>
                <c:pt idx="3">
                  <c:v>9.5</c:v>
                </c:pt>
                <c:pt idx="4">
                  <c:v>9.5</c:v>
                </c:pt>
                <c:pt idx="5">
                  <c:v>9.5</c:v>
                </c:pt>
                <c:pt idx="6">
                  <c:v>9.5</c:v>
                </c:pt>
                <c:pt idx="7">
                  <c:v>9.5</c:v>
                </c:pt>
                <c:pt idx="8">
                  <c:v>9.5</c:v>
                </c:pt>
                <c:pt idx="9">
                  <c:v>9.5</c:v>
                </c:pt>
                <c:pt idx="10">
                  <c:v>9.5</c:v>
                </c:pt>
                <c:pt idx="11">
                  <c:v>9.5</c:v>
                </c:pt>
                <c:pt idx="12">
                  <c:v>9.5</c:v>
                </c:pt>
                <c:pt idx="13">
                  <c:v>9.5</c:v>
                </c:pt>
                <c:pt idx="14">
                  <c:v>9.5</c:v>
                </c:pt>
                <c:pt idx="15">
                  <c:v>9.5</c:v>
                </c:pt>
                <c:pt idx="16">
                  <c:v>9.5</c:v>
                </c:pt>
                <c:pt idx="17">
                  <c:v>9.5</c:v>
                </c:pt>
                <c:pt idx="18">
                  <c:v>9.5</c:v>
                </c:pt>
                <c:pt idx="19">
                  <c:v>9.5</c:v>
                </c:pt>
                <c:pt idx="20">
                  <c:v>9.5</c:v>
                </c:pt>
                <c:pt idx="21">
                  <c:v>9.5</c:v>
                </c:pt>
                <c:pt idx="22">
                  <c:v>9.5</c:v>
                </c:pt>
                <c:pt idx="23">
                  <c:v>9.5</c:v>
                </c:pt>
                <c:pt idx="24">
                  <c:v>9.5</c:v>
                </c:pt>
                <c:pt idx="25">
                  <c:v>9.5</c:v>
                </c:pt>
                <c:pt idx="26">
                  <c:v>9.5</c:v>
                </c:pt>
                <c:pt idx="27">
                  <c:v>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67-4613-9105-2BA9706F13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noFill/>
              <a:round/>
            </a:ln>
            <a:effectLst/>
          </c:spPr>
        </c:hiLowLines>
        <c:marker val="1"/>
        <c:smooth val="0"/>
        <c:axId val="60902016"/>
        <c:axId val="61027072"/>
      </c:lineChart>
      <c:dateAx>
        <c:axId val="60902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Дата отбора пробы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mmm/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1027072"/>
        <c:crosses val="autoZero"/>
        <c:auto val="1"/>
        <c:lblOffset val="100"/>
        <c:baseTimeUnit val="months"/>
      </c:dateAx>
      <c:valAx>
        <c:axId val="61027072"/>
        <c:scaling>
          <c:orientation val="minMax"/>
          <c:max val="9.5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рН</a:t>
                </a:r>
                <a:r>
                  <a:rPr lang="ru-RU" baseline="-25000"/>
                  <a:t>25</a:t>
                </a:r>
              </a:p>
            </c:rich>
          </c:tx>
          <c:layout>
            <c:manualLayout>
              <c:xMode val="edge"/>
              <c:yMode val="edge"/>
              <c:x val="1.6666666666666701E-2"/>
              <c:y val="0.381257655293088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090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999038411139064E-2"/>
          <c:y val="0.73160264519852358"/>
          <c:w val="0.97109017667274455"/>
          <c:h val="0.24007815171380564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Сопоставление фактических и нормативных значений мутности горячей воды СЦГВ (подача) ЦТП-12</a:t>
            </a:r>
          </a:p>
        </c:rich>
      </c:tx>
      <c:layout>
        <c:manualLayout>
          <c:xMode val="edge"/>
          <c:yMode val="edge"/>
          <c:x val="0.10444444444444446"/>
          <c:y val="2.777777777777793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Фактические значения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'ЦТП-12'!$B$6:$B$33</c:f>
              <c:numCache>
                <c:formatCode>mmm/yy</c:formatCode>
                <c:ptCount val="28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  <c:pt idx="6">
                  <c:v>43374</c:v>
                </c:pt>
                <c:pt idx="7">
                  <c:v>43405</c:v>
                </c:pt>
                <c:pt idx="8">
                  <c:v>43435</c:v>
                </c:pt>
                <c:pt idx="9">
                  <c:v>43497</c:v>
                </c:pt>
                <c:pt idx="10">
                  <c:v>43525</c:v>
                </c:pt>
                <c:pt idx="11">
                  <c:v>43556</c:v>
                </c:pt>
                <c:pt idx="12">
                  <c:v>43586</c:v>
                </c:pt>
                <c:pt idx="13">
                  <c:v>43617</c:v>
                </c:pt>
                <c:pt idx="14">
                  <c:v>43647</c:v>
                </c:pt>
                <c:pt idx="15">
                  <c:v>43678</c:v>
                </c:pt>
                <c:pt idx="16">
                  <c:v>43709</c:v>
                </c:pt>
                <c:pt idx="17">
                  <c:v>43739</c:v>
                </c:pt>
                <c:pt idx="18">
                  <c:v>43770</c:v>
                </c:pt>
                <c:pt idx="19">
                  <c:v>43800</c:v>
                </c:pt>
                <c:pt idx="20">
                  <c:v>43831</c:v>
                </c:pt>
                <c:pt idx="21">
                  <c:v>43862</c:v>
                </c:pt>
                <c:pt idx="22">
                  <c:v>43891</c:v>
                </c:pt>
                <c:pt idx="23">
                  <c:v>43952</c:v>
                </c:pt>
                <c:pt idx="24">
                  <c:v>43983</c:v>
                </c:pt>
                <c:pt idx="25">
                  <c:v>44013</c:v>
                </c:pt>
                <c:pt idx="26">
                  <c:v>44044</c:v>
                </c:pt>
                <c:pt idx="27">
                  <c:v>44075</c:v>
                </c:pt>
              </c:numCache>
            </c:numRef>
          </c:cat>
          <c:val>
            <c:numRef>
              <c:f>'ЦТП-12'!$E$6:$E$33</c:f>
              <c:numCache>
                <c:formatCode>0.00</c:formatCode>
                <c:ptCount val="28"/>
                <c:pt idx="0">
                  <c:v>0.99</c:v>
                </c:pt>
                <c:pt idx="1">
                  <c:v>1.046</c:v>
                </c:pt>
                <c:pt idx="2">
                  <c:v>0.99</c:v>
                </c:pt>
                <c:pt idx="3">
                  <c:v>1.1200000000000001</c:v>
                </c:pt>
                <c:pt idx="4">
                  <c:v>2.8299999999999987</c:v>
                </c:pt>
                <c:pt idx="5">
                  <c:v>0.8294999999999999</c:v>
                </c:pt>
                <c:pt idx="6">
                  <c:v>1.8</c:v>
                </c:pt>
                <c:pt idx="7">
                  <c:v>1.7249999999999976</c:v>
                </c:pt>
                <c:pt idx="8">
                  <c:v>0.99</c:v>
                </c:pt>
                <c:pt idx="9">
                  <c:v>0.99</c:v>
                </c:pt>
                <c:pt idx="10">
                  <c:v>1.35</c:v>
                </c:pt>
                <c:pt idx="11">
                  <c:v>0.99</c:v>
                </c:pt>
                <c:pt idx="12">
                  <c:v>1.9649999999999999</c:v>
                </c:pt>
                <c:pt idx="13">
                  <c:v>0.99</c:v>
                </c:pt>
                <c:pt idx="14">
                  <c:v>0.99</c:v>
                </c:pt>
                <c:pt idx="15">
                  <c:v>2.0004999999999997</c:v>
                </c:pt>
                <c:pt idx="16">
                  <c:v>2.54</c:v>
                </c:pt>
                <c:pt idx="17" formatCode="0.0">
                  <c:v>3.4149999999999987</c:v>
                </c:pt>
                <c:pt idx="18" formatCode="0.0">
                  <c:v>2.2400000000000002</c:v>
                </c:pt>
                <c:pt idx="19" formatCode="0.0">
                  <c:v>1.6800000000000019</c:v>
                </c:pt>
                <c:pt idx="20">
                  <c:v>0.99</c:v>
                </c:pt>
                <c:pt idx="21">
                  <c:v>0.99</c:v>
                </c:pt>
                <c:pt idx="22">
                  <c:v>0.99</c:v>
                </c:pt>
                <c:pt idx="23">
                  <c:v>1.5750000000000002</c:v>
                </c:pt>
                <c:pt idx="24">
                  <c:v>2.3099999999999987</c:v>
                </c:pt>
                <c:pt idx="25" formatCode="General">
                  <c:v>1.9200000000000019</c:v>
                </c:pt>
                <c:pt idx="26" formatCode="General">
                  <c:v>2.8899999999999997</c:v>
                </c:pt>
                <c:pt idx="27" formatCode="General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EC-43EF-9C6C-881139992C08}"/>
            </c:ext>
          </c:extLst>
        </c:ser>
        <c:ser>
          <c:idx val="1"/>
          <c:order val="1"/>
          <c:tx>
            <c:v>Максимальное нормативное значение (СанПиН)</c:v>
          </c:tx>
          <c:marker>
            <c:symbol val="none"/>
          </c:marker>
          <c:val>
            <c:numRef>
              <c:f>'ЦТП-12'!$K$65:$K$92</c:f>
              <c:numCache>
                <c:formatCode>General</c:formatCode>
                <c:ptCount val="28"/>
                <c:pt idx="0">
                  <c:v>2.6</c:v>
                </c:pt>
                <c:pt idx="1">
                  <c:v>2.6</c:v>
                </c:pt>
                <c:pt idx="2">
                  <c:v>2.6</c:v>
                </c:pt>
                <c:pt idx="3">
                  <c:v>2.6</c:v>
                </c:pt>
                <c:pt idx="4">
                  <c:v>2.6</c:v>
                </c:pt>
                <c:pt idx="5">
                  <c:v>2.6</c:v>
                </c:pt>
                <c:pt idx="6">
                  <c:v>2.6</c:v>
                </c:pt>
                <c:pt idx="7">
                  <c:v>2.6</c:v>
                </c:pt>
                <c:pt idx="8">
                  <c:v>2.6</c:v>
                </c:pt>
                <c:pt idx="9">
                  <c:v>2.6</c:v>
                </c:pt>
                <c:pt idx="10">
                  <c:v>2.6</c:v>
                </c:pt>
                <c:pt idx="11">
                  <c:v>2.6</c:v>
                </c:pt>
                <c:pt idx="12">
                  <c:v>2.6</c:v>
                </c:pt>
                <c:pt idx="13">
                  <c:v>2.6</c:v>
                </c:pt>
                <c:pt idx="14">
                  <c:v>2.6</c:v>
                </c:pt>
                <c:pt idx="15">
                  <c:v>2.6</c:v>
                </c:pt>
                <c:pt idx="16">
                  <c:v>2.6</c:v>
                </c:pt>
                <c:pt idx="17">
                  <c:v>2.6</c:v>
                </c:pt>
                <c:pt idx="18">
                  <c:v>2.6</c:v>
                </c:pt>
                <c:pt idx="19">
                  <c:v>2.6</c:v>
                </c:pt>
                <c:pt idx="20">
                  <c:v>2.6</c:v>
                </c:pt>
                <c:pt idx="21">
                  <c:v>2.6</c:v>
                </c:pt>
                <c:pt idx="22">
                  <c:v>2.6</c:v>
                </c:pt>
                <c:pt idx="23">
                  <c:v>2.6</c:v>
                </c:pt>
                <c:pt idx="24">
                  <c:v>2.6</c:v>
                </c:pt>
                <c:pt idx="25">
                  <c:v>2.6</c:v>
                </c:pt>
                <c:pt idx="26">
                  <c:v>2.6</c:v>
                </c:pt>
                <c:pt idx="27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DD-4F7A-9401-1B52B47E9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070336"/>
        <c:axId val="61163392"/>
      </c:lineChart>
      <c:dateAx>
        <c:axId val="61070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Дата отбора пробы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mmm/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1163392"/>
        <c:crosses val="autoZero"/>
        <c:auto val="1"/>
        <c:lblOffset val="100"/>
        <c:baseTimeUnit val="months"/>
      </c:dateAx>
      <c:valAx>
        <c:axId val="61163392"/>
        <c:scaling>
          <c:orientation val="minMax"/>
          <c:max val="4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Мутность, ЕМФ</a:t>
                </a:r>
              </a:p>
            </c:rich>
          </c:tx>
          <c:layout>
            <c:manualLayout>
              <c:xMode val="edge"/>
              <c:yMode val="edge"/>
              <c:x val="2.2222222222222251E-2"/>
              <c:y val="0.2331095071449402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107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Сопоставление фактических и нормативных значений цветности горячей воды СЦГВ (подача) ЦТП-12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Фактические значения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'ЦТП-12'!$B$6:$B$33</c:f>
              <c:numCache>
                <c:formatCode>mmm/yy</c:formatCode>
                <c:ptCount val="28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  <c:pt idx="6">
                  <c:v>43374</c:v>
                </c:pt>
                <c:pt idx="7">
                  <c:v>43405</c:v>
                </c:pt>
                <c:pt idx="8">
                  <c:v>43435</c:v>
                </c:pt>
                <c:pt idx="9">
                  <c:v>43497</c:v>
                </c:pt>
                <c:pt idx="10">
                  <c:v>43525</c:v>
                </c:pt>
                <c:pt idx="11">
                  <c:v>43556</c:v>
                </c:pt>
                <c:pt idx="12">
                  <c:v>43586</c:v>
                </c:pt>
                <c:pt idx="13">
                  <c:v>43617</c:v>
                </c:pt>
                <c:pt idx="14">
                  <c:v>43647</c:v>
                </c:pt>
                <c:pt idx="15">
                  <c:v>43678</c:v>
                </c:pt>
                <c:pt idx="16">
                  <c:v>43709</c:v>
                </c:pt>
                <c:pt idx="17">
                  <c:v>43739</c:v>
                </c:pt>
                <c:pt idx="18">
                  <c:v>43770</c:v>
                </c:pt>
                <c:pt idx="19">
                  <c:v>43800</c:v>
                </c:pt>
                <c:pt idx="20">
                  <c:v>43831</c:v>
                </c:pt>
                <c:pt idx="21">
                  <c:v>43862</c:v>
                </c:pt>
                <c:pt idx="22">
                  <c:v>43891</c:v>
                </c:pt>
                <c:pt idx="23">
                  <c:v>43952</c:v>
                </c:pt>
                <c:pt idx="24">
                  <c:v>43983</c:v>
                </c:pt>
                <c:pt idx="25">
                  <c:v>44013</c:v>
                </c:pt>
                <c:pt idx="26">
                  <c:v>44044</c:v>
                </c:pt>
                <c:pt idx="27">
                  <c:v>44075</c:v>
                </c:pt>
              </c:numCache>
            </c:numRef>
          </c:cat>
          <c:val>
            <c:numRef>
              <c:f>'ЦТП-12'!$F$6:$F$33</c:f>
              <c:numCache>
                <c:formatCode>0</c:formatCode>
                <c:ptCount val="28"/>
                <c:pt idx="0">
                  <c:v>33.13300000000001</c:v>
                </c:pt>
                <c:pt idx="1">
                  <c:v>24</c:v>
                </c:pt>
                <c:pt idx="2">
                  <c:v>29.655000000000001</c:v>
                </c:pt>
                <c:pt idx="3">
                  <c:v>22.72</c:v>
                </c:pt>
                <c:pt idx="4">
                  <c:v>15.51</c:v>
                </c:pt>
                <c:pt idx="5">
                  <c:v>24</c:v>
                </c:pt>
                <c:pt idx="6">
                  <c:v>22.150000000000031</c:v>
                </c:pt>
                <c:pt idx="7">
                  <c:v>22.291499999999989</c:v>
                </c:pt>
                <c:pt idx="8">
                  <c:v>21.545000000000002</c:v>
                </c:pt>
                <c:pt idx="9">
                  <c:v>22.630000000000031</c:v>
                </c:pt>
                <c:pt idx="10">
                  <c:v>18.035</c:v>
                </c:pt>
                <c:pt idx="11">
                  <c:v>17.689999999999987</c:v>
                </c:pt>
                <c:pt idx="12">
                  <c:v>19.37</c:v>
                </c:pt>
                <c:pt idx="13">
                  <c:v>16</c:v>
                </c:pt>
                <c:pt idx="14">
                  <c:v>16.36</c:v>
                </c:pt>
                <c:pt idx="15">
                  <c:v>10.893000000000002</c:v>
                </c:pt>
                <c:pt idx="16" formatCode="0;[Red]0">
                  <c:v>14.8</c:v>
                </c:pt>
                <c:pt idx="17">
                  <c:v>15.535</c:v>
                </c:pt>
                <c:pt idx="18">
                  <c:v>24.299999999999986</c:v>
                </c:pt>
                <c:pt idx="19" formatCode="0;[Red]0">
                  <c:v>24</c:v>
                </c:pt>
                <c:pt idx="20">
                  <c:v>21.709500000000002</c:v>
                </c:pt>
                <c:pt idx="21">
                  <c:v>24.380000000000003</c:v>
                </c:pt>
                <c:pt idx="22">
                  <c:v>45</c:v>
                </c:pt>
                <c:pt idx="23">
                  <c:v>29.255000000000003</c:v>
                </c:pt>
                <c:pt idx="24">
                  <c:v>22</c:v>
                </c:pt>
                <c:pt idx="25" formatCode="General">
                  <c:v>22</c:v>
                </c:pt>
                <c:pt idx="26" formatCode="General">
                  <c:v>23</c:v>
                </c:pt>
                <c:pt idx="27" formatCode="General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E3-4525-AE61-11851B460816}"/>
            </c:ext>
          </c:extLst>
        </c:ser>
        <c:ser>
          <c:idx val="1"/>
          <c:order val="1"/>
          <c:tx>
            <c:v>Максимальное нормативное значение (СанПиН)</c:v>
          </c:tx>
          <c:marker>
            <c:symbol val="none"/>
          </c:marker>
          <c:val>
            <c:numRef>
              <c:f>'ЦТП-12'!$L$65:$L$92</c:f>
              <c:numCache>
                <c:formatCode>General</c:formatCode>
                <c:ptCount val="28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  <c:pt idx="19">
                  <c:v>20</c:v>
                </c:pt>
                <c:pt idx="20">
                  <c:v>20</c:v>
                </c:pt>
                <c:pt idx="21">
                  <c:v>20</c:v>
                </c:pt>
                <c:pt idx="22">
                  <c:v>20</c:v>
                </c:pt>
                <c:pt idx="23">
                  <c:v>20</c:v>
                </c:pt>
                <c:pt idx="24">
                  <c:v>20</c:v>
                </c:pt>
                <c:pt idx="25">
                  <c:v>20</c:v>
                </c:pt>
                <c:pt idx="26">
                  <c:v>20</c:v>
                </c:pt>
                <c:pt idx="27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F3-4AE1-A2C7-B01F7BF363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13056"/>
        <c:axId val="62442880"/>
      </c:lineChart>
      <c:dateAx>
        <c:axId val="6241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Дата отбора пробы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mmm/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2442880"/>
        <c:crosses val="autoZero"/>
        <c:auto val="1"/>
        <c:lblOffset val="100"/>
        <c:baseTimeUnit val="months"/>
      </c:dateAx>
      <c:valAx>
        <c:axId val="6244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Цветность, градусы</a:t>
                </a:r>
              </a:p>
            </c:rich>
          </c:tx>
          <c:layout>
            <c:manualLayout>
              <c:xMode val="edge"/>
              <c:yMode val="edge"/>
              <c:x val="2.2222222222222251E-2"/>
              <c:y val="0.2128325508607198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241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Сопоставление фактических и нормативных значений общей жёсткости горячей воды СЦГВ (подача) ЦТП-12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Фактические значения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'ЦТП-12'!$B$26:$B$33</c:f>
              <c:numCache>
                <c:formatCode>mmm/yy</c:formatCode>
                <c:ptCount val="8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43952</c:v>
                </c:pt>
                <c:pt idx="4">
                  <c:v>43983</c:v>
                </c:pt>
                <c:pt idx="5">
                  <c:v>44013</c:v>
                </c:pt>
                <c:pt idx="6">
                  <c:v>44044</c:v>
                </c:pt>
                <c:pt idx="7">
                  <c:v>44075</c:v>
                </c:pt>
              </c:numCache>
            </c:numRef>
          </c:cat>
          <c:val>
            <c:numRef>
              <c:f>'ЦТП-12'!$H$26:$H$33</c:f>
              <c:numCache>
                <c:formatCode>General</c:formatCode>
                <c:ptCount val="8"/>
                <c:pt idx="0">
                  <c:v>3.2800000000000002</c:v>
                </c:pt>
                <c:pt idx="1">
                  <c:v>3.3499999999999988</c:v>
                </c:pt>
                <c:pt idx="2">
                  <c:v>3.5</c:v>
                </c:pt>
                <c:pt idx="3">
                  <c:v>3.3499999999999988</c:v>
                </c:pt>
                <c:pt idx="4">
                  <c:v>3.25</c:v>
                </c:pt>
                <c:pt idx="5">
                  <c:v>3.05</c:v>
                </c:pt>
                <c:pt idx="6">
                  <c:v>2.9299999999999997</c:v>
                </c:pt>
                <c:pt idx="7">
                  <c:v>2.5299999999999998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D8-4DCA-AF1E-361FFE26A822}"/>
            </c:ext>
          </c:extLst>
        </c:ser>
        <c:ser>
          <c:idx val="1"/>
          <c:order val="1"/>
          <c:tx>
            <c:v>Максимальное нормативное значение (СанПиН)</c:v>
          </c:tx>
          <c:marker>
            <c:symbol val="none"/>
          </c:marker>
          <c:val>
            <c:numRef>
              <c:f>'ЦТП-12'!$J$65:$J$92</c:f>
              <c:numCache>
                <c:formatCode>General</c:formatCode>
                <c:ptCount val="28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A5-4A76-AFC5-7E6D226F5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087104"/>
        <c:axId val="77089024"/>
      </c:lineChart>
      <c:dateAx>
        <c:axId val="77087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Дата отбора пробы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mmm/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7089024"/>
        <c:crosses val="autoZero"/>
        <c:auto val="1"/>
        <c:lblOffset val="100"/>
        <c:baseTimeUnit val="months"/>
      </c:dateAx>
      <c:valAx>
        <c:axId val="77089024"/>
        <c:scaling>
          <c:orientation val="minMax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Общая жёсткость, мг-экв/дм</a:t>
                </a:r>
                <a:r>
                  <a:rPr lang="ru-RU" baseline="30000"/>
                  <a:t>3</a:t>
                </a:r>
              </a:p>
            </c:rich>
          </c:tx>
          <c:layout>
            <c:manualLayout>
              <c:xMode val="edge"/>
              <c:yMode val="edge"/>
              <c:x val="2.3551098649881634E-2"/>
              <c:y val="0.1590468909015422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7087104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Сопоставление фактических и нормативных значений массовой концентрации растворённого железа в холодной воде СЦГВ ЦТП-12</a:t>
            </a:r>
          </a:p>
        </c:rich>
      </c:tx>
      <c:layout>
        <c:manualLayout>
          <c:xMode val="edge"/>
          <c:yMode val="edge"/>
          <c:x val="0.10519444444444469"/>
          <c:y val="2.777777777777791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Фактические значения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'ЦТП-12'!$B$6:$B$33</c:f>
              <c:numCache>
                <c:formatCode>mmm/yy</c:formatCode>
                <c:ptCount val="28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  <c:pt idx="3">
                  <c:v>43282</c:v>
                </c:pt>
                <c:pt idx="4">
                  <c:v>43313</c:v>
                </c:pt>
                <c:pt idx="5">
                  <c:v>43344</c:v>
                </c:pt>
                <c:pt idx="6">
                  <c:v>43374</c:v>
                </c:pt>
                <c:pt idx="7">
                  <c:v>43405</c:v>
                </c:pt>
                <c:pt idx="8">
                  <c:v>43435</c:v>
                </c:pt>
                <c:pt idx="9">
                  <c:v>43497</c:v>
                </c:pt>
                <c:pt idx="10">
                  <c:v>43525</c:v>
                </c:pt>
                <c:pt idx="11">
                  <c:v>43556</c:v>
                </c:pt>
                <c:pt idx="12">
                  <c:v>43586</c:v>
                </c:pt>
                <c:pt idx="13">
                  <c:v>43617</c:v>
                </c:pt>
                <c:pt idx="14">
                  <c:v>43647</c:v>
                </c:pt>
                <c:pt idx="15">
                  <c:v>43678</c:v>
                </c:pt>
                <c:pt idx="16">
                  <c:v>43709</c:v>
                </c:pt>
                <c:pt idx="17">
                  <c:v>43739</c:v>
                </c:pt>
                <c:pt idx="18">
                  <c:v>43770</c:v>
                </c:pt>
                <c:pt idx="19">
                  <c:v>43800</c:v>
                </c:pt>
                <c:pt idx="20">
                  <c:v>43831</c:v>
                </c:pt>
                <c:pt idx="21">
                  <c:v>43862</c:v>
                </c:pt>
                <c:pt idx="22">
                  <c:v>43891</c:v>
                </c:pt>
                <c:pt idx="23">
                  <c:v>43952</c:v>
                </c:pt>
                <c:pt idx="24">
                  <c:v>43983</c:v>
                </c:pt>
                <c:pt idx="25">
                  <c:v>44013</c:v>
                </c:pt>
                <c:pt idx="26">
                  <c:v>44044</c:v>
                </c:pt>
                <c:pt idx="27">
                  <c:v>44075</c:v>
                </c:pt>
              </c:numCache>
            </c:numRef>
          </c:cat>
          <c:val>
            <c:numRef>
              <c:f>'ЦТП-12'!$D$35:$D$62</c:f>
              <c:numCache>
                <c:formatCode>0.00</c:formatCode>
                <c:ptCount val="28"/>
                <c:pt idx="0">
                  <c:v>0.38805000000000056</c:v>
                </c:pt>
                <c:pt idx="1">
                  <c:v>0.3533500000000005</c:v>
                </c:pt>
                <c:pt idx="2">
                  <c:v>0.42000000000000032</c:v>
                </c:pt>
                <c:pt idx="3">
                  <c:v>0.2</c:v>
                </c:pt>
                <c:pt idx="4">
                  <c:v>0.29340000000000038</c:v>
                </c:pt>
                <c:pt idx="5">
                  <c:v>0.27</c:v>
                </c:pt>
                <c:pt idx="6">
                  <c:v>0.32000000000000056</c:v>
                </c:pt>
                <c:pt idx="7">
                  <c:v>0.35000000000000031</c:v>
                </c:pt>
                <c:pt idx="8">
                  <c:v>0.29000000000000031</c:v>
                </c:pt>
                <c:pt idx="9">
                  <c:v>0.45</c:v>
                </c:pt>
                <c:pt idx="10">
                  <c:v>0.34550000000000008</c:v>
                </c:pt>
                <c:pt idx="11">
                  <c:v>0.252</c:v>
                </c:pt>
                <c:pt idx="12">
                  <c:v>0.31280000000000058</c:v>
                </c:pt>
                <c:pt idx="13">
                  <c:v>0.24000000000000021</c:v>
                </c:pt>
                <c:pt idx="14">
                  <c:v>0.18000000000000024</c:v>
                </c:pt>
                <c:pt idx="15">
                  <c:v>0.33550000000000063</c:v>
                </c:pt>
                <c:pt idx="16">
                  <c:v>0.28850000000000031</c:v>
                </c:pt>
                <c:pt idx="17">
                  <c:v>0.21650000000000025</c:v>
                </c:pt>
                <c:pt idx="18">
                  <c:v>0.4965000000000005</c:v>
                </c:pt>
                <c:pt idx="19">
                  <c:v>0.35000000000000031</c:v>
                </c:pt>
                <c:pt idx="20">
                  <c:v>0.34</c:v>
                </c:pt>
                <c:pt idx="21">
                  <c:v>0.33000000000000063</c:v>
                </c:pt>
                <c:pt idx="22">
                  <c:v>0.30000000000000032</c:v>
                </c:pt>
                <c:pt idx="23">
                  <c:v>0.34</c:v>
                </c:pt>
                <c:pt idx="24">
                  <c:v>0.29000000000000031</c:v>
                </c:pt>
                <c:pt idx="25">
                  <c:v>0.41800000000000032</c:v>
                </c:pt>
                <c:pt idx="26">
                  <c:v>0.39600000000000063</c:v>
                </c:pt>
                <c:pt idx="27" formatCode="General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89-4D37-907F-5F047C60DCAF}"/>
            </c:ext>
          </c:extLst>
        </c:ser>
        <c:ser>
          <c:idx val="1"/>
          <c:order val="1"/>
          <c:tx>
            <c:v>Максимальное нормативное значение (СП, СанПиН)</c:v>
          </c:tx>
          <c:marker>
            <c:symbol val="none"/>
          </c:marker>
          <c:val>
            <c:numRef>
              <c:f>'ЦТП-12'!$H$65:$H$92</c:f>
              <c:numCache>
                <c:formatCode>General</c:formatCode>
                <c:ptCount val="28"/>
                <c:pt idx="0">
                  <c:v>0.30000000000000032</c:v>
                </c:pt>
                <c:pt idx="1">
                  <c:v>0.30000000000000032</c:v>
                </c:pt>
                <c:pt idx="2">
                  <c:v>0.30000000000000032</c:v>
                </c:pt>
                <c:pt idx="3">
                  <c:v>0.30000000000000032</c:v>
                </c:pt>
                <c:pt idx="4">
                  <c:v>0.30000000000000032</c:v>
                </c:pt>
                <c:pt idx="5">
                  <c:v>0.30000000000000032</c:v>
                </c:pt>
                <c:pt idx="6">
                  <c:v>0.30000000000000032</c:v>
                </c:pt>
                <c:pt idx="7">
                  <c:v>0.30000000000000032</c:v>
                </c:pt>
                <c:pt idx="8">
                  <c:v>0.30000000000000032</c:v>
                </c:pt>
                <c:pt idx="9">
                  <c:v>0.30000000000000032</c:v>
                </c:pt>
                <c:pt idx="10">
                  <c:v>0.30000000000000032</c:v>
                </c:pt>
                <c:pt idx="11">
                  <c:v>0.30000000000000032</c:v>
                </c:pt>
                <c:pt idx="12">
                  <c:v>0.30000000000000032</c:v>
                </c:pt>
                <c:pt idx="13">
                  <c:v>0.30000000000000032</c:v>
                </c:pt>
                <c:pt idx="14">
                  <c:v>0.30000000000000032</c:v>
                </c:pt>
                <c:pt idx="15">
                  <c:v>0.30000000000000032</c:v>
                </c:pt>
                <c:pt idx="16">
                  <c:v>0.30000000000000032</c:v>
                </c:pt>
                <c:pt idx="17">
                  <c:v>0.30000000000000032</c:v>
                </c:pt>
                <c:pt idx="18">
                  <c:v>0.30000000000000032</c:v>
                </c:pt>
                <c:pt idx="19">
                  <c:v>0.30000000000000032</c:v>
                </c:pt>
                <c:pt idx="20">
                  <c:v>0.30000000000000032</c:v>
                </c:pt>
                <c:pt idx="21">
                  <c:v>0.30000000000000032</c:v>
                </c:pt>
                <c:pt idx="22">
                  <c:v>0.30000000000000032</c:v>
                </c:pt>
                <c:pt idx="23">
                  <c:v>0.30000000000000032</c:v>
                </c:pt>
                <c:pt idx="24">
                  <c:v>0.30000000000000032</c:v>
                </c:pt>
                <c:pt idx="25">
                  <c:v>0.30000000000000032</c:v>
                </c:pt>
                <c:pt idx="26">
                  <c:v>0.30000000000000032</c:v>
                </c:pt>
                <c:pt idx="27">
                  <c:v>0.30000000000000032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45-47B0-BBD4-E314968B5DB8}"/>
            </c:ext>
          </c:extLst>
        </c:ser>
        <c:ser>
          <c:idx val="2"/>
          <c:order val="2"/>
          <c:tx>
            <c:v>Максимальное нормативное значение (СП, ПТЭ ЭС и С)</c:v>
          </c:tx>
          <c:marker>
            <c:symbol val="none"/>
          </c:marker>
          <c:val>
            <c:numRef>
              <c:f>'ЦТП-12'!$I$65:$I$92</c:f>
              <c:numCache>
                <c:formatCode>General</c:formatCode>
                <c:ptCount val="28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0.5</c:v>
                </c:pt>
                <c:pt idx="27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45-47B0-BBD4-E314968B5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06624"/>
        <c:axId val="80108544"/>
      </c:lineChart>
      <c:dateAx>
        <c:axId val="80106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Дата отбора пробы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mmm/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80108544"/>
        <c:crosses val="autoZero"/>
        <c:auto val="1"/>
        <c:lblOffset val="100"/>
        <c:baseTimeUnit val="months"/>
      </c:dateAx>
      <c:valAx>
        <c:axId val="80108544"/>
        <c:scaling>
          <c:orientation val="minMax"/>
          <c:max val="0.55000000000000004"/>
          <c:min val="0.1500000000000002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Массовая концентрация</a:t>
                </a:r>
                <a:r>
                  <a:rPr lang="ru-RU" baseline="0"/>
                  <a:t> </a:t>
                </a:r>
                <a:r>
                  <a:rPr lang="ru-RU"/>
                  <a:t>соединений железа, мг/дм</a:t>
                </a:r>
                <a:r>
                  <a:rPr lang="ru-RU" baseline="30000"/>
                  <a:t>3</a:t>
                </a:r>
              </a:p>
            </c:rich>
          </c:tx>
          <c:layout>
            <c:manualLayout>
              <c:xMode val="edge"/>
              <c:yMode val="edge"/>
              <c:x val="1.4015340541838178E-2"/>
              <c:y val="0.129163783268184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8010662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0.09401</cdr:x>
      <cdr:y>0.19868</cdr:y>
    </cdr:from>
    <cdr:to>
      <cdr:x>0.97812</cdr:x>
      <cdr:y>0.25751</cdr:y>
    </cdr:to>
    <cdr:sp macro="" textlink="">
      <cdr:nvSpPr>
        <cdr:cNvPr id="2" name="Прямоугольник 1">
          <a:extLst xmlns:a="http://schemas.openxmlformats.org/drawingml/2006/main">
            <a:ext uri="{FF2B5EF4-FFF2-40B4-BE49-F238E27FC236}">
              <a16:creationId xmlns:a16="http://schemas.microsoft.com/office/drawing/2014/main" id="{79E6C348-4973-43C7-B99C-169A3090878B}"/>
            </a:ext>
          </a:extLst>
        </cdr:cNvPr>
        <cdr:cNvSpPr/>
      </cdr:nvSpPr>
      <cdr:spPr>
        <a:xfrm xmlns:a="http://schemas.openxmlformats.org/drawingml/2006/main">
          <a:off x="683672" y="865173"/>
          <a:ext cx="6429375" cy="256182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>
            <a:alpha val="45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A1BB-3AE5-439B-95F7-72BCEC1B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16</Pages>
  <Words>4088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МАИ</cp:lastModifiedBy>
  <cp:revision>212</cp:revision>
  <dcterms:created xsi:type="dcterms:W3CDTF">2021-05-14T07:15:00Z</dcterms:created>
  <dcterms:modified xsi:type="dcterms:W3CDTF">2025-10-21T13:20:00Z</dcterms:modified>
</cp:coreProperties>
</file>